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center"/>
        <w:rPr>
          <w:rFonts w:hint="eastAsia" w:ascii="Times New Roman" w:hAnsi="Times New Roman" w:eastAsia="方正小标宋简体" w:cs="方正小标宋简体"/>
          <w:sz w:val="72"/>
          <w:szCs w:val="7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72"/>
          <w:szCs w:val="7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72"/>
          <w:szCs w:val="7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72"/>
          <w:szCs w:val="7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72"/>
          <w:szCs w:val="72"/>
          <w:highlight w:val="none"/>
          <w:lang w:bidi="ar"/>
        </w:rPr>
      </w:pPr>
    </w:p>
    <w:p>
      <w:pPr>
        <w:widowControl/>
        <w:jc w:val="center"/>
        <w:outlineLvl w:val="0"/>
        <w:rPr>
          <w:rFonts w:hint="eastAsia" w:ascii="Times New Roman" w:hAnsi="Times New Roman" w:eastAsia="方正小标宋简体" w:cs="方正小标宋简体"/>
          <w:kern w:val="0"/>
          <w:sz w:val="72"/>
          <w:szCs w:val="72"/>
          <w:highlight w:val="none"/>
          <w:lang w:bidi="ar"/>
        </w:rPr>
      </w:pPr>
      <w:r>
        <w:rPr>
          <w:rFonts w:hint="eastAsia" w:ascii="Times New Roman" w:hAnsi="Times New Roman" w:eastAsia="方正小标宋简体" w:cs="方正小标宋简体"/>
          <w:kern w:val="0"/>
          <w:sz w:val="72"/>
          <w:szCs w:val="72"/>
          <w:highlight w:val="none"/>
          <w:lang w:val="en-US" w:eastAsia="zh-CN" w:bidi="ar"/>
        </w:rPr>
        <w:t>乐山市文化和旅游数据中心</w:t>
      </w:r>
      <w:r>
        <w:rPr>
          <w:rFonts w:hint="eastAsia" w:ascii="Times New Roman" w:hAnsi="Times New Roman" w:eastAsia="方正小标宋简体" w:cs="方正小标宋简体"/>
          <w:kern w:val="0"/>
          <w:sz w:val="72"/>
          <w:szCs w:val="72"/>
          <w:highlight w:val="none"/>
          <w:lang w:bidi="ar"/>
        </w:rPr>
        <w:t>2022年部门预算</w:t>
      </w:r>
    </w:p>
    <w:p>
      <w:pPr>
        <w:widowControl/>
        <w:jc w:val="center"/>
        <w:rPr>
          <w:rFonts w:hint="eastAsia" w:ascii="Times New Roman" w:hAnsi="Times New Roman" w:eastAsia="方正小标宋简体" w:cs="方正小标宋简体"/>
          <w:kern w:val="0"/>
          <w:sz w:val="36"/>
          <w:szCs w:val="36"/>
          <w:highlight w:val="none"/>
          <w:lang w:bidi="ar"/>
        </w:rPr>
        <w:sectPr>
          <w:pgSz w:w="11906" w:h="16838"/>
          <w:pgMar w:top="1440" w:right="1800" w:bottom="1440" w:left="1800" w:header="720" w:footer="720" w:gutter="0"/>
          <w:pgNumType w:fmt="numberInDash"/>
          <w:cols w:space="720" w:num="1"/>
          <w:docGrid w:type="lines" w:linePitch="312" w:charSpace="0"/>
        </w:sectPr>
      </w:pPr>
    </w:p>
    <w:p>
      <w:pPr>
        <w:widowControl/>
        <w:ind w:firstLine="880"/>
        <w:jc w:val="center"/>
        <w:outlineLvl w:val="0"/>
        <w:rPr>
          <w:rStyle w:val="7"/>
          <w:rFonts w:ascii="Times New Roman" w:hAnsi="Times New Roman" w:eastAsia="黑体" w:cs="宋体"/>
          <w:color w:val="333333"/>
          <w:sz w:val="32"/>
          <w:szCs w:val="21"/>
          <w:highlight w:val="none"/>
        </w:rPr>
      </w:pPr>
      <w:r>
        <w:rPr>
          <w:rFonts w:hint="eastAsia" w:ascii="Times New Roman" w:hAnsi="Times New Roman" w:eastAsia="方正小标宋简体" w:cs="方正小标宋简体"/>
          <w:kern w:val="0"/>
          <w:sz w:val="44"/>
          <w:szCs w:val="44"/>
          <w:highlight w:val="none"/>
          <w:lang w:bidi="ar"/>
        </w:rPr>
        <w:t>目录</w:t>
      </w:r>
    </w:p>
    <w:p>
      <w:pPr>
        <w:pStyle w:val="4"/>
        <w:widowControl/>
        <w:spacing w:before="0" w:beforeAutospacing="0" w:after="0" w:afterAutospacing="0" w:line="600" w:lineRule="exact"/>
        <w:ind w:firstLine="640" w:firstLineChars="200"/>
        <w:jc w:val="both"/>
        <w:outlineLvl w:val="0"/>
        <w:rPr>
          <w:rFonts w:ascii="Times New Roman" w:hAnsi="Times New Roman" w:cs="宋体"/>
          <w:bCs/>
          <w:color w:val="333333"/>
          <w:sz w:val="21"/>
          <w:szCs w:val="21"/>
          <w:highlight w:val="none"/>
        </w:rPr>
      </w:pPr>
      <w:r>
        <w:rPr>
          <w:rStyle w:val="7"/>
          <w:rFonts w:ascii="Times New Roman" w:hAnsi="Times New Roman" w:eastAsia="黑体" w:cs="宋体"/>
          <w:b w:val="0"/>
          <w:bCs/>
          <w:color w:val="333333"/>
          <w:sz w:val="32"/>
          <w:szCs w:val="21"/>
          <w:highlight w:val="none"/>
        </w:rPr>
        <w:t>第一部分</w:t>
      </w:r>
      <w:r>
        <w:rPr>
          <w:rStyle w:val="7"/>
          <w:rFonts w:hint="eastAsia" w:ascii="Times New Roman" w:hAnsi="Times New Roman" w:eastAsia="黑体" w:cs="宋体"/>
          <w:b w:val="0"/>
          <w:bCs/>
          <w:color w:val="333333"/>
          <w:sz w:val="32"/>
          <w:szCs w:val="21"/>
          <w:highlight w:val="none"/>
        </w:rPr>
        <w:t xml:space="preserve"> </w:t>
      </w:r>
      <w:r>
        <w:rPr>
          <w:rStyle w:val="7"/>
          <w:rFonts w:ascii="Times New Roman" w:hAnsi="Times New Roman" w:eastAsia="黑体" w:cs="宋体"/>
          <w:b w:val="0"/>
          <w:bCs/>
          <w:color w:val="333333"/>
          <w:sz w:val="32"/>
          <w:szCs w:val="21"/>
          <w:highlight w:val="none"/>
        </w:rPr>
        <w:t xml:space="preserve"> </w:t>
      </w:r>
      <w:r>
        <w:rPr>
          <w:rStyle w:val="7"/>
          <w:rFonts w:hint="eastAsia" w:ascii="Times New Roman" w:hAnsi="Times New Roman" w:eastAsia="黑体" w:cs="宋体"/>
          <w:b w:val="0"/>
          <w:bCs/>
          <w:color w:val="333333"/>
          <w:sz w:val="32"/>
          <w:szCs w:val="21"/>
          <w:highlight w:val="none"/>
          <w:lang w:val="en-US" w:eastAsia="zh-CN"/>
        </w:rPr>
        <w:t>乐山市文化和旅游数据中心</w:t>
      </w:r>
      <w:r>
        <w:rPr>
          <w:rStyle w:val="7"/>
          <w:rFonts w:ascii="Times New Roman" w:hAnsi="Times New Roman" w:eastAsia="黑体" w:cs="宋体"/>
          <w:b w:val="0"/>
          <w:bCs/>
          <w:color w:val="333333"/>
          <w:sz w:val="32"/>
          <w:szCs w:val="21"/>
          <w:highlight w:val="none"/>
        </w:rPr>
        <w:t>概况</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一、基本职能及主要工作</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二、部门预算单位构成</w:t>
      </w:r>
    </w:p>
    <w:p>
      <w:pPr>
        <w:pStyle w:val="4"/>
        <w:widowControl/>
        <w:spacing w:before="0" w:beforeAutospacing="0" w:after="0" w:afterAutospacing="0" w:line="600" w:lineRule="exact"/>
        <w:ind w:firstLine="640" w:firstLineChars="200"/>
        <w:jc w:val="both"/>
        <w:outlineLvl w:val="0"/>
        <w:rPr>
          <w:rFonts w:ascii="Times New Roman" w:hAnsi="Times New Roman" w:cs="宋体"/>
          <w:bCs/>
          <w:color w:val="333333"/>
          <w:sz w:val="21"/>
          <w:szCs w:val="21"/>
          <w:highlight w:val="none"/>
        </w:rPr>
      </w:pPr>
      <w:r>
        <w:rPr>
          <w:rStyle w:val="7"/>
          <w:rFonts w:ascii="Times New Roman" w:hAnsi="Times New Roman" w:eastAsia="黑体" w:cs="宋体"/>
          <w:b w:val="0"/>
          <w:bCs/>
          <w:color w:val="333333"/>
          <w:sz w:val="32"/>
          <w:szCs w:val="21"/>
          <w:highlight w:val="none"/>
        </w:rPr>
        <w:t>第二部分</w:t>
      </w:r>
      <w:r>
        <w:rPr>
          <w:rStyle w:val="7"/>
          <w:rFonts w:hint="eastAsia" w:ascii="Times New Roman" w:hAnsi="Times New Roman" w:eastAsia="黑体" w:cs="宋体"/>
          <w:b w:val="0"/>
          <w:bCs/>
          <w:color w:val="333333"/>
          <w:sz w:val="32"/>
          <w:szCs w:val="21"/>
          <w:highlight w:val="none"/>
        </w:rPr>
        <w:t xml:space="preserve"> </w:t>
      </w:r>
      <w:r>
        <w:rPr>
          <w:rStyle w:val="7"/>
          <w:rFonts w:ascii="Times New Roman" w:hAnsi="Times New Roman" w:eastAsia="黑体" w:cs="宋体"/>
          <w:b w:val="0"/>
          <w:bCs/>
          <w:color w:val="333333"/>
          <w:sz w:val="32"/>
          <w:szCs w:val="21"/>
          <w:highlight w:val="none"/>
        </w:rPr>
        <w:t xml:space="preserve"> </w:t>
      </w:r>
      <w:r>
        <w:rPr>
          <w:rStyle w:val="7"/>
          <w:rFonts w:hint="eastAsia" w:ascii="Times New Roman" w:hAnsi="Times New Roman" w:eastAsia="黑体" w:cs="宋体"/>
          <w:b w:val="0"/>
          <w:bCs/>
          <w:color w:val="333333"/>
          <w:sz w:val="32"/>
          <w:szCs w:val="21"/>
          <w:highlight w:val="none"/>
          <w:lang w:val="en-US" w:eastAsia="zh-CN"/>
        </w:rPr>
        <w:t>乐山市文化和旅游数据中心</w:t>
      </w:r>
      <w:r>
        <w:rPr>
          <w:rStyle w:val="7"/>
          <w:rFonts w:ascii="Times New Roman" w:hAnsi="Times New Roman" w:eastAsia="黑体" w:cs="宋体"/>
          <w:b w:val="0"/>
          <w:bCs/>
          <w:color w:val="333333"/>
          <w:sz w:val="32"/>
          <w:szCs w:val="21"/>
          <w:highlight w:val="none"/>
        </w:rPr>
        <w:t>202</w:t>
      </w:r>
      <w:r>
        <w:rPr>
          <w:rStyle w:val="7"/>
          <w:rFonts w:hint="eastAsia" w:ascii="Times New Roman" w:hAnsi="Times New Roman" w:eastAsia="黑体" w:cs="宋体"/>
          <w:b w:val="0"/>
          <w:bCs/>
          <w:color w:val="333333"/>
          <w:sz w:val="32"/>
          <w:szCs w:val="21"/>
          <w:highlight w:val="none"/>
        </w:rPr>
        <w:t>2</w:t>
      </w:r>
      <w:r>
        <w:rPr>
          <w:rStyle w:val="7"/>
          <w:rFonts w:ascii="Times New Roman" w:hAnsi="Times New Roman" w:eastAsia="黑体" w:cs="宋体"/>
          <w:b w:val="0"/>
          <w:bCs/>
          <w:color w:val="333333"/>
          <w:sz w:val="32"/>
          <w:szCs w:val="21"/>
          <w:highlight w:val="none"/>
        </w:rPr>
        <w:t>年部门预算表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一、部门收支总表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二、部门收入总表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三、部门支出总表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四、财政拨款收支预算总表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五、财政拨款支出预算表（部门经济分类科目）</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六、一般公共预算支出预算表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七、一般公共预算基本支出预算表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八、一般公共预算项目支出预算表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九、一般公共预算“三公”经费支出预算表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十、政府性基金预算支出表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十一、政府性基金预算“三公”经费支出预算表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十二、国有资本经营预算支出表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十三、部门预算项目支出绩效目标表</w:t>
      </w: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十四、部门整体支出绩效目标表</w:t>
      </w:r>
    </w:p>
    <w:p>
      <w:pPr>
        <w:pStyle w:val="4"/>
        <w:widowControl/>
        <w:spacing w:before="0" w:beforeAutospacing="0" w:after="0" w:afterAutospacing="0" w:line="600" w:lineRule="exact"/>
        <w:ind w:firstLine="640" w:firstLineChars="200"/>
        <w:jc w:val="both"/>
        <w:outlineLvl w:val="0"/>
        <w:rPr>
          <w:rStyle w:val="7"/>
          <w:rFonts w:ascii="Times New Roman" w:hAnsi="Times New Roman" w:eastAsia="黑体" w:cs="宋体"/>
          <w:b w:val="0"/>
          <w:bCs/>
          <w:color w:val="333333"/>
          <w:sz w:val="32"/>
          <w:szCs w:val="21"/>
          <w:highlight w:val="none"/>
        </w:rPr>
      </w:pPr>
      <w:r>
        <w:rPr>
          <w:rStyle w:val="7"/>
          <w:rFonts w:ascii="Times New Roman" w:hAnsi="Times New Roman" w:eastAsia="黑体" w:cs="宋体"/>
          <w:b w:val="0"/>
          <w:bCs/>
          <w:color w:val="333333"/>
          <w:sz w:val="32"/>
          <w:szCs w:val="21"/>
          <w:highlight w:val="none"/>
        </w:rPr>
        <w:t>第三部分</w:t>
      </w:r>
      <w:r>
        <w:rPr>
          <w:rStyle w:val="7"/>
          <w:rFonts w:hint="eastAsia" w:ascii="Times New Roman" w:hAnsi="Times New Roman" w:eastAsia="黑体" w:cs="宋体"/>
          <w:b w:val="0"/>
          <w:bCs/>
          <w:color w:val="333333"/>
          <w:sz w:val="32"/>
          <w:szCs w:val="21"/>
          <w:highlight w:val="none"/>
        </w:rPr>
        <w:t xml:space="preserve"> </w:t>
      </w:r>
      <w:r>
        <w:rPr>
          <w:rStyle w:val="7"/>
          <w:rFonts w:ascii="Times New Roman" w:hAnsi="Times New Roman" w:eastAsia="黑体" w:cs="宋体"/>
          <w:b w:val="0"/>
          <w:bCs/>
          <w:color w:val="333333"/>
          <w:sz w:val="32"/>
          <w:szCs w:val="21"/>
          <w:highlight w:val="none"/>
        </w:rPr>
        <w:t xml:space="preserve"> </w:t>
      </w:r>
      <w:r>
        <w:rPr>
          <w:rStyle w:val="7"/>
          <w:rFonts w:hint="eastAsia" w:ascii="Times New Roman" w:hAnsi="Times New Roman" w:eastAsia="黑体" w:cs="宋体"/>
          <w:b w:val="0"/>
          <w:bCs/>
          <w:color w:val="333333"/>
          <w:sz w:val="32"/>
          <w:szCs w:val="21"/>
          <w:highlight w:val="none"/>
          <w:lang w:val="en-US" w:eastAsia="zh-CN"/>
        </w:rPr>
        <w:t>乐山市文化和旅游数据中心</w:t>
      </w:r>
      <w:r>
        <w:rPr>
          <w:rStyle w:val="7"/>
          <w:rFonts w:ascii="Times New Roman" w:hAnsi="Times New Roman" w:eastAsia="黑体" w:cs="宋体"/>
          <w:b w:val="0"/>
          <w:bCs/>
          <w:color w:val="333333"/>
          <w:sz w:val="32"/>
          <w:szCs w:val="21"/>
          <w:highlight w:val="none"/>
        </w:rPr>
        <w:t>202</w:t>
      </w:r>
      <w:r>
        <w:rPr>
          <w:rStyle w:val="7"/>
          <w:rFonts w:hint="eastAsia" w:ascii="Times New Roman" w:hAnsi="Times New Roman" w:eastAsia="黑体" w:cs="宋体"/>
          <w:b w:val="0"/>
          <w:bCs/>
          <w:color w:val="333333"/>
          <w:sz w:val="32"/>
          <w:szCs w:val="21"/>
          <w:highlight w:val="none"/>
        </w:rPr>
        <w:t>2</w:t>
      </w:r>
      <w:r>
        <w:rPr>
          <w:rStyle w:val="7"/>
          <w:rFonts w:ascii="Times New Roman" w:hAnsi="Times New Roman" w:eastAsia="黑体" w:cs="宋体"/>
          <w:b w:val="0"/>
          <w:bCs/>
          <w:color w:val="333333"/>
          <w:sz w:val="32"/>
          <w:szCs w:val="21"/>
          <w:highlight w:val="none"/>
        </w:rPr>
        <w:t>年部门预算情况说明</w:t>
      </w:r>
    </w:p>
    <w:p>
      <w:pPr>
        <w:pStyle w:val="4"/>
        <w:widowControl/>
        <w:spacing w:before="0" w:beforeAutospacing="0" w:after="0" w:afterAutospacing="0" w:line="600" w:lineRule="exact"/>
        <w:ind w:firstLine="640" w:firstLineChars="200"/>
        <w:jc w:val="both"/>
        <w:outlineLvl w:val="0"/>
        <w:rPr>
          <w:rStyle w:val="7"/>
          <w:rFonts w:ascii="Times New Roman" w:hAnsi="Times New Roman" w:eastAsia="黑体" w:cs="宋体"/>
          <w:b w:val="0"/>
          <w:bCs/>
          <w:color w:val="333333"/>
          <w:sz w:val="32"/>
          <w:szCs w:val="21"/>
          <w:highlight w:val="none"/>
        </w:rPr>
      </w:pPr>
      <w:r>
        <w:rPr>
          <w:rStyle w:val="7"/>
          <w:rFonts w:ascii="Times New Roman" w:hAnsi="Times New Roman" w:eastAsia="黑体" w:cs="宋体"/>
          <w:b w:val="0"/>
          <w:bCs/>
          <w:color w:val="333333"/>
          <w:sz w:val="32"/>
          <w:szCs w:val="21"/>
          <w:highlight w:val="none"/>
        </w:rPr>
        <w:t>第四部分</w:t>
      </w:r>
      <w:r>
        <w:rPr>
          <w:rStyle w:val="7"/>
          <w:rFonts w:hint="eastAsia" w:ascii="Times New Roman" w:hAnsi="Times New Roman" w:eastAsia="黑体" w:cs="宋体"/>
          <w:b w:val="0"/>
          <w:bCs/>
          <w:color w:val="333333"/>
          <w:sz w:val="32"/>
          <w:szCs w:val="21"/>
          <w:highlight w:val="none"/>
        </w:rPr>
        <w:t xml:space="preserve">  </w:t>
      </w:r>
      <w:r>
        <w:rPr>
          <w:rStyle w:val="7"/>
          <w:rFonts w:ascii="Times New Roman" w:hAnsi="Times New Roman" w:eastAsia="黑体" w:cs="宋体"/>
          <w:b w:val="0"/>
          <w:bCs/>
          <w:color w:val="333333"/>
          <w:sz w:val="32"/>
          <w:szCs w:val="21"/>
          <w:highlight w:val="none"/>
        </w:rPr>
        <w:t>名词解释</w:t>
      </w: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sectPr>
          <w:footerReference r:id="rId3" w:type="default"/>
          <w:pgSz w:w="11906" w:h="16838"/>
          <w:pgMar w:top="1440" w:right="1800" w:bottom="1440" w:left="1800" w:header="720" w:footer="720" w:gutter="0"/>
          <w:pgNumType w:fmt="numberInDash" w:start="1"/>
          <w:cols w:space="720" w:num="1"/>
          <w:docGrid w:type="lines" w:linePitch="312" w:charSpace="0"/>
        </w:sect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outlineLvl w:val="0"/>
        <w:rPr>
          <w:rFonts w:hint="eastAsia" w:ascii="Times New Roman" w:hAnsi="Times New Roman" w:eastAsia="方正小标宋简体" w:cs="方正小标宋简体"/>
          <w:sz w:val="52"/>
          <w:szCs w:val="52"/>
          <w:highlight w:val="none"/>
          <w:lang w:bidi="ar"/>
        </w:rPr>
      </w:pPr>
      <w:r>
        <w:rPr>
          <w:rFonts w:hint="eastAsia" w:ascii="Times New Roman" w:hAnsi="Times New Roman" w:eastAsia="方正小标宋简体" w:cs="方正小标宋简体"/>
          <w:sz w:val="52"/>
          <w:szCs w:val="52"/>
          <w:highlight w:val="none"/>
          <w:lang w:bidi="ar"/>
        </w:rPr>
        <w:t xml:space="preserve">第一部分  </w:t>
      </w:r>
      <w:r>
        <w:rPr>
          <w:rFonts w:hint="eastAsia" w:ascii="Times New Roman" w:hAnsi="Times New Roman" w:eastAsia="方正小标宋简体" w:cs="方正小标宋简体"/>
          <w:sz w:val="52"/>
          <w:szCs w:val="52"/>
          <w:highlight w:val="none"/>
          <w:lang w:val="en-US" w:eastAsia="zh-CN" w:bidi="ar"/>
        </w:rPr>
        <w:t>乐山市文化和旅游数据中心</w:t>
      </w:r>
      <w:r>
        <w:rPr>
          <w:rFonts w:hint="eastAsia" w:ascii="Times New Roman" w:hAnsi="Times New Roman" w:eastAsia="方正小标宋简体" w:cs="方正小标宋简体"/>
          <w:sz w:val="52"/>
          <w:szCs w:val="52"/>
          <w:highlight w:val="none"/>
          <w:lang w:bidi="ar"/>
        </w:rPr>
        <w:t>概况</w:t>
      </w:r>
    </w:p>
    <w:p>
      <w:pPr>
        <w:pStyle w:val="4"/>
        <w:widowControl/>
        <w:adjustRightInd w:val="0"/>
        <w:spacing w:before="0" w:beforeAutospacing="0" w:after="0" w:afterAutospacing="0"/>
        <w:ind w:firstLine="640" w:firstLineChars="200"/>
        <w:jc w:val="both"/>
        <w:rPr>
          <w:rStyle w:val="7"/>
          <w:rFonts w:hint="eastAsia" w:ascii="Times New Roman" w:hAnsi="Times New Roman" w:eastAsia="黑体" w:cs="宋体"/>
          <w:b w:val="0"/>
          <w:bCs/>
          <w:color w:val="333333"/>
          <w:sz w:val="32"/>
          <w:szCs w:val="21"/>
          <w:highlight w:val="none"/>
        </w:rPr>
        <w:sectPr>
          <w:footerReference r:id="rId4" w:type="default"/>
          <w:pgSz w:w="11906" w:h="16838"/>
          <w:pgMar w:top="1440" w:right="1800" w:bottom="1440" w:left="1800" w:header="720" w:footer="720" w:gutter="0"/>
          <w:pgNumType w:fmt="numberInDash" w:start="1"/>
          <w:cols w:space="720" w:num="1"/>
          <w:docGrid w:type="lines" w:linePitch="312" w:charSpace="0"/>
        </w:sectPr>
      </w:pPr>
    </w:p>
    <w:p>
      <w:pPr>
        <w:pStyle w:val="4"/>
        <w:widowControl/>
        <w:adjustRightInd w:val="0"/>
        <w:spacing w:before="0" w:beforeAutospacing="0" w:after="0" w:afterAutospacing="0"/>
        <w:ind w:firstLine="640" w:firstLineChars="200"/>
        <w:jc w:val="both"/>
        <w:outlineLvl w:val="1"/>
        <w:rPr>
          <w:rStyle w:val="7"/>
          <w:rFonts w:hint="eastAsia" w:ascii="Times New Roman" w:hAnsi="Times New Roman" w:eastAsia="黑体" w:cs="宋体"/>
          <w:b w:val="0"/>
          <w:bCs/>
          <w:color w:val="333333"/>
          <w:sz w:val="32"/>
          <w:szCs w:val="21"/>
          <w:highlight w:val="none"/>
        </w:rPr>
      </w:pPr>
      <w:r>
        <w:rPr>
          <w:rStyle w:val="7"/>
          <w:rFonts w:hint="eastAsia" w:ascii="Times New Roman" w:hAnsi="Times New Roman" w:eastAsia="黑体" w:cs="宋体"/>
          <w:b w:val="0"/>
          <w:bCs/>
          <w:color w:val="333333"/>
          <w:sz w:val="32"/>
          <w:szCs w:val="21"/>
          <w:highlight w:val="none"/>
        </w:rPr>
        <w:t>一、基本职能及主要工作</w:t>
      </w:r>
    </w:p>
    <w:p>
      <w:pPr>
        <w:keepNext w:val="0"/>
        <w:keepLines w:val="0"/>
        <w:pageBreakBefore w:val="0"/>
        <w:widowControl w:val="0"/>
        <w:kinsoku/>
        <w:wordWrap/>
        <w:overflowPunct/>
        <w:autoSpaceDE/>
        <w:autoSpaceDN/>
        <w:bidi w:val="0"/>
        <w:adjustRightInd/>
        <w:snapToGrid/>
        <w:spacing w:line="560" w:lineRule="exact"/>
        <w:ind w:firstLine="643" w:firstLineChars="200"/>
        <w:textAlignment w:val="auto"/>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（一）</w:t>
      </w:r>
      <w:r>
        <w:rPr>
          <w:rStyle w:val="7"/>
          <w:rFonts w:hint="eastAsia" w:ascii="Times New Roman" w:hAnsi="Times New Roman" w:eastAsia="黑体" w:cs="宋体"/>
          <w:b w:val="0"/>
          <w:bCs/>
          <w:color w:val="333333"/>
          <w:sz w:val="32"/>
          <w:szCs w:val="21"/>
          <w:highlight w:val="none"/>
          <w:lang w:val="en-US" w:eastAsia="zh-CN"/>
        </w:rPr>
        <w:t>乐山市文化和旅游数据中心</w:t>
      </w:r>
      <w:r>
        <w:rPr>
          <w:rFonts w:hint="eastAsia" w:ascii="Times New Roman" w:hAnsi="Times New Roman" w:eastAsia="楷体_GB2312"/>
          <w:b/>
          <w:sz w:val="32"/>
          <w:szCs w:val="32"/>
          <w:highlight w:val="none"/>
        </w:rPr>
        <w:t>职能简介。</w:t>
      </w:r>
    </w:p>
    <w:p>
      <w:pPr>
        <w:topLinePunct/>
        <w:adjustRightIn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承担全市文化旅游信息的收集、传递和咨询服务；承担全市文化和旅游产业发展情况的统计分析，统计预测，提供涉旅统计信息和政策建议；承担文化旅游数据信息系统的维护管理。</w:t>
      </w:r>
    </w:p>
    <w:p>
      <w:pPr>
        <w:keepNext w:val="0"/>
        <w:keepLines w:val="0"/>
        <w:pageBreakBefore w:val="0"/>
        <w:widowControl w:val="0"/>
        <w:numPr>
          <w:ilvl w:val="0"/>
          <w:numId w:val="2"/>
        </w:numPr>
        <w:kinsoku/>
        <w:wordWrap/>
        <w:overflowPunct/>
        <w:topLinePunct/>
        <w:autoSpaceDE/>
        <w:autoSpaceDN/>
        <w:bidi w:val="0"/>
        <w:adjustRightInd/>
        <w:snapToGrid/>
        <w:spacing w:line="560" w:lineRule="exact"/>
        <w:ind w:firstLine="640" w:firstLineChars="200"/>
        <w:textAlignment w:val="auto"/>
        <w:rPr>
          <w:rFonts w:hint="eastAsia" w:ascii="Times New Roman" w:hAnsi="Times New Roman" w:eastAsia="楷体_GB2312"/>
          <w:b/>
          <w:sz w:val="32"/>
          <w:szCs w:val="32"/>
          <w:highlight w:val="none"/>
        </w:rPr>
      </w:pPr>
      <w:r>
        <w:rPr>
          <w:rStyle w:val="7"/>
          <w:rFonts w:hint="eastAsia" w:ascii="Times New Roman" w:hAnsi="Times New Roman" w:eastAsia="黑体" w:cs="宋体"/>
          <w:b w:val="0"/>
          <w:bCs/>
          <w:color w:val="333333"/>
          <w:sz w:val="32"/>
          <w:szCs w:val="21"/>
          <w:highlight w:val="none"/>
          <w:lang w:val="en-US" w:eastAsia="zh-CN"/>
        </w:rPr>
        <w:t>乐山市文化和旅游数据中心</w:t>
      </w:r>
      <w:r>
        <w:rPr>
          <w:rFonts w:hint="eastAsia" w:ascii="Times New Roman" w:hAnsi="Times New Roman" w:eastAsia="楷体_GB2312"/>
          <w:b/>
          <w:sz w:val="32"/>
          <w:szCs w:val="32"/>
          <w:highlight w:val="none"/>
        </w:rPr>
        <w:t>2022年重点工作。</w:t>
      </w:r>
    </w:p>
    <w:p>
      <w:pPr>
        <w:topLinePunct/>
        <w:adjustRightIn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构建文旅数据库系统。立足于进一步摸清“家底”，及时了解文旅产业运行动态，为业务管理、科研分析和领导决策提供参考，拟建立乐山市文旅数据库系统。数据库主要是在“智游乐山”平台中，对涉及的文旅资源数据进行梳理和展示，并将相关文旅企业经营情况纳入动态监测体系，进一步发挥数据指导乐山文旅发展的作用。</w:t>
      </w:r>
    </w:p>
    <w:p>
      <w:pPr>
        <w:topLinePunct/>
        <w:adjustRightIn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继续做好文旅统计。进一步加强对新制度的学习，结合新制度的变化，指导区县进一步做好旅游基础数据采集、填报，国内和入境旅游抽样调查，以及文化文物统计等工作，强化数据分析应用。结合区县旅游情况，科学制定各县（市、区）旅游数据核算方案，并做好实施工作。</w:t>
      </w:r>
    </w:p>
    <w:p>
      <w:pPr>
        <w:topLinePunct/>
        <w:adjustRightIn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提升智慧文旅应用。开展智慧文旅深入调研，找准A级景区和文化场馆，在智慧文旅方面存在的问题，进一步提升智慧化水平。依托峨眉山旅游股份公司技术力量，不断升级完善“智游乐山”平台和功能应用，将消费应用、SaaS服务融入平台，真正实现市场化可持续发展。</w:t>
      </w:r>
    </w:p>
    <w:p>
      <w:pPr>
        <w:topLinePunct/>
        <w:adjustRightInd/>
        <w:spacing w:line="560" w:lineRule="exact"/>
        <w:ind w:firstLine="640" w:firstLineChars="200"/>
        <w:rPr>
          <w:rFonts w:hint="eastAsia" w:ascii="Times New Roman" w:hAnsi="Times New Roman" w:eastAsia="仿宋_GB2312" w:cs="仿宋_GB2312"/>
          <w:color w:val="333333"/>
          <w:sz w:val="32"/>
          <w:szCs w:val="32"/>
          <w:highlight w:val="none"/>
        </w:rPr>
      </w:pPr>
      <w:r>
        <w:rPr>
          <w:rFonts w:hint="eastAsia" w:ascii="仿宋_GB2312" w:hAnsi="仿宋_GB2312" w:eastAsia="仿宋_GB2312" w:cs="仿宋_GB2312"/>
          <w:sz w:val="32"/>
          <w:szCs w:val="32"/>
          <w:highlight w:val="none"/>
          <w:lang w:val="en-US" w:eastAsia="zh-CN"/>
        </w:rPr>
        <w:t>4.高效运转数据中心。进一步强化党的建设。由于今年新招聘人员中有1名党员，加之休产假党员假期2022年1月结束，因此明年将重新成立数据中心支部。继续强化党建引领，落实领导干部“一岗双责”，加强党员队伍建设，坚决维护党中央集中统一领导,坚决维护习近平总书记在党中央和全党的核心地位，不断提升全体党员思想水平，发挥先锋模范和基层堡垒作用。进一步强化廉政建设。深入开展党风廉政建设和干部作风建设，强化反腐倡廉防范意识，筑牢思想道德防线，不断提高拒腐防变能力，不断优化工作作风。进一步强化中心管理。协调局机关，增加数据中心人员配置。不断完善中心规章制度，规范做好办公室、财务、人事、档案、资产、收发文等中心常规事务工作，进一步确保综合管理成效不断提升。</w:t>
      </w:r>
      <w:r>
        <w:rPr>
          <w:rFonts w:hint="eastAsia" w:ascii="仿宋_GB2312" w:eastAsia="仿宋_GB2312"/>
          <w:color w:val="auto"/>
          <w:sz w:val="32"/>
          <w:szCs w:val="32"/>
          <w:highlight w:val="none"/>
        </w:rPr>
        <w:t>。</w:t>
      </w:r>
    </w:p>
    <w:p>
      <w:pPr>
        <w:pStyle w:val="4"/>
        <w:widowControl/>
        <w:spacing w:before="0" w:beforeAutospacing="0" w:after="0" w:afterAutospacing="0" w:line="600" w:lineRule="exact"/>
        <w:ind w:firstLine="640" w:firstLineChars="200"/>
        <w:jc w:val="both"/>
        <w:outlineLvl w:val="1"/>
        <w:rPr>
          <w:rStyle w:val="7"/>
          <w:rFonts w:hint="eastAsia" w:ascii="Times New Roman" w:hAnsi="Times New Roman" w:eastAsia="黑体" w:cs="宋体"/>
          <w:b w:val="0"/>
          <w:bCs/>
          <w:color w:val="333333"/>
          <w:sz w:val="32"/>
          <w:szCs w:val="21"/>
          <w:highlight w:val="none"/>
        </w:rPr>
      </w:pPr>
      <w:r>
        <w:rPr>
          <w:rStyle w:val="7"/>
          <w:rFonts w:hint="eastAsia" w:ascii="Times New Roman" w:hAnsi="Times New Roman" w:eastAsia="黑体" w:cs="宋体"/>
          <w:b w:val="0"/>
          <w:bCs/>
          <w:color w:val="333333"/>
          <w:sz w:val="32"/>
          <w:szCs w:val="21"/>
          <w:highlight w:val="none"/>
        </w:rPr>
        <w:t>二、部门预算单位构成</w:t>
      </w:r>
    </w:p>
    <w:p>
      <w:pPr>
        <w:pStyle w:val="2"/>
        <w:adjustRightInd w:val="0"/>
        <w:spacing w:before="130" w:line="580" w:lineRule="exact"/>
        <w:ind w:firstLine="672" w:firstLineChars="210"/>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lang w:val="en-US" w:eastAsia="zh-CN"/>
        </w:rPr>
        <w:t>乐山市文化和旅游数据中心</w:t>
      </w:r>
      <w:r>
        <w:rPr>
          <w:rFonts w:hint="eastAsia" w:ascii="Times New Roman" w:hAnsi="Times New Roman" w:eastAsia="仿宋_GB2312" w:cs="仿宋_GB2312"/>
          <w:sz w:val="32"/>
          <w:highlight w:val="none"/>
        </w:rPr>
        <w:t>下属二级预算单位</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rPr>
        <w:t>个，其中行政单位</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rPr>
        <w:t>个，参照公务员法管理的事业单位</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rPr>
        <w:t>个，其他事业单位</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rPr>
        <w:t>个。</w:t>
      </w:r>
    </w:p>
    <w:p>
      <w:pPr>
        <w:pStyle w:val="4"/>
        <w:widowControl/>
        <w:spacing w:before="0" w:beforeAutospacing="0" w:after="0" w:afterAutospacing="0" w:line="600" w:lineRule="exact"/>
        <w:ind w:firstLine="640" w:firstLineChars="200"/>
        <w:jc w:val="both"/>
        <w:rPr>
          <w:rFonts w:hint="eastAsia" w:ascii="Times New Roman" w:hAnsi="Times New Roman" w:eastAsia="仿宋_GB2312" w:cs="仿宋_GB2312"/>
          <w:color w:val="333333"/>
          <w:sz w:val="32"/>
          <w:szCs w:val="32"/>
          <w:highlight w:val="none"/>
        </w:rPr>
      </w:pP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05" w:type="dxa"/>
            <w:noWrap w:val="0"/>
            <w:vAlign w:val="top"/>
          </w:tcPr>
          <w:p>
            <w:pPr>
              <w:pStyle w:val="4"/>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序号</w:t>
            </w:r>
          </w:p>
        </w:tc>
        <w:tc>
          <w:tcPr>
            <w:tcW w:w="6282" w:type="dxa"/>
            <w:noWrap w:val="0"/>
            <w:vAlign w:val="top"/>
          </w:tcPr>
          <w:p>
            <w:pPr>
              <w:pStyle w:val="4"/>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预算单位名称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005" w:type="dxa"/>
            <w:noWrap w:val="0"/>
            <w:vAlign w:val="top"/>
          </w:tcPr>
          <w:p>
            <w:pPr>
              <w:pStyle w:val="4"/>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1</w:t>
            </w:r>
          </w:p>
        </w:tc>
        <w:tc>
          <w:tcPr>
            <w:tcW w:w="6282" w:type="dxa"/>
            <w:noWrap w:val="0"/>
            <w:vAlign w:val="top"/>
          </w:tcPr>
          <w:p>
            <w:pPr>
              <w:pStyle w:val="4"/>
              <w:widowControl/>
              <w:spacing w:before="0" w:beforeAutospacing="0" w:after="0" w:afterAutospacing="0" w:line="600" w:lineRule="exact"/>
              <w:ind w:firstLine="640" w:firstLineChars="200"/>
              <w:jc w:val="both"/>
              <w:rPr>
                <w:rFonts w:hint="default" w:ascii="Times New Roman" w:hAnsi="Times New Roman" w:eastAsia="仿宋_GB2312" w:cs="仿宋_GB2312"/>
                <w:color w:val="333333"/>
                <w:sz w:val="32"/>
                <w:szCs w:val="32"/>
                <w:highlight w:val="none"/>
                <w:lang w:val="en-US" w:eastAsia="zh-CN"/>
              </w:rPr>
            </w:pPr>
            <w:r>
              <w:rPr>
                <w:rFonts w:hint="eastAsia" w:ascii="Times New Roman" w:hAnsi="Times New Roman" w:eastAsia="仿宋_GB2312" w:cs="仿宋_GB2312"/>
                <w:color w:val="333333"/>
                <w:sz w:val="32"/>
                <w:szCs w:val="32"/>
                <w:highlight w:val="none"/>
                <w:lang w:val="en-US" w:eastAsia="zh-CN"/>
              </w:rPr>
              <w:t>乐山市文化和旅游数据中心</w:t>
            </w:r>
          </w:p>
        </w:tc>
      </w:tr>
    </w:tbl>
    <w:p>
      <w:pPr>
        <w:pStyle w:val="4"/>
        <w:widowControl/>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highlight w:val="none"/>
        </w:rPr>
      </w:pPr>
    </w:p>
    <w:p>
      <w:pPr>
        <w:pStyle w:val="4"/>
        <w:widowControl/>
        <w:spacing w:before="0" w:beforeAutospacing="0" w:after="150" w:afterAutospacing="0"/>
        <w:rPr>
          <w:rFonts w:hint="eastAsia" w:ascii="Times New Roman" w:hAnsi="Times New Roman" w:eastAsia="方正小标宋简体" w:cs="方正小标宋简体"/>
          <w:sz w:val="52"/>
          <w:szCs w:val="52"/>
          <w:highlight w:val="none"/>
          <w:lang w:bidi="ar"/>
        </w:rPr>
        <w:sectPr>
          <w:footerReference r:id="rId5" w:type="default"/>
          <w:pgSz w:w="11906" w:h="16838"/>
          <w:pgMar w:top="1440" w:right="1800" w:bottom="1440" w:left="1800" w:header="720" w:footer="720" w:gutter="0"/>
          <w:pgNumType w:fmt="numberInDash" w:start="1"/>
          <w:cols w:space="720" w:num="1"/>
          <w:docGrid w:type="lines" w:linePitch="312" w:charSpace="0"/>
        </w:sectPr>
      </w:pPr>
      <w:bookmarkStart w:id="0" w:name="_GoBack"/>
      <w:bookmarkEnd w:id="0"/>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outlineLvl w:val="0"/>
        <w:rPr>
          <w:rFonts w:hint="default" w:ascii="Times New Roman" w:hAnsi="Times New Roman" w:eastAsia="方正小标宋简体" w:cs="方正小标宋简体"/>
          <w:sz w:val="52"/>
          <w:szCs w:val="52"/>
          <w:highlight w:val="none"/>
          <w:lang w:val="en-US" w:bidi="ar"/>
        </w:rPr>
      </w:pPr>
      <w:r>
        <w:rPr>
          <w:rFonts w:hint="eastAsia" w:ascii="Times New Roman" w:hAnsi="Times New Roman" w:eastAsia="方正小标宋简体" w:cs="方正小标宋简体"/>
          <w:sz w:val="52"/>
          <w:szCs w:val="52"/>
          <w:highlight w:val="none"/>
          <w:lang w:bidi="ar"/>
        </w:rPr>
        <w:t xml:space="preserve">第二部分  </w:t>
      </w:r>
      <w:r>
        <w:rPr>
          <w:rFonts w:hint="eastAsia" w:ascii="Times New Roman" w:hAnsi="Times New Roman" w:eastAsia="方正小标宋简体" w:cs="方正小标宋简体"/>
          <w:sz w:val="52"/>
          <w:szCs w:val="52"/>
          <w:highlight w:val="none"/>
          <w:lang w:val="en-US" w:eastAsia="zh-CN" w:bidi="ar"/>
        </w:rPr>
        <w:t>乐山市文化和旅游数据中心</w:t>
      </w:r>
    </w:p>
    <w:p>
      <w:pPr>
        <w:pStyle w:val="4"/>
        <w:widowControl/>
        <w:spacing w:before="0" w:beforeAutospacing="0" w:after="0" w:afterAutospacing="0" w:line="240" w:lineRule="auto"/>
        <w:ind w:left="0"/>
        <w:jc w:val="center"/>
        <w:outlineLvl w:val="1"/>
        <w:rPr>
          <w:rFonts w:hint="eastAsia" w:ascii="Times New Roman" w:hAnsi="Times New Roman" w:eastAsia="仿宋_GB2312" w:cs="仿宋_GB2312"/>
          <w:color w:val="333333"/>
          <w:sz w:val="32"/>
          <w:szCs w:val="32"/>
          <w:highlight w:val="none"/>
        </w:rPr>
        <w:sectPr>
          <w:footerReference r:id="rId6" w:type="default"/>
          <w:pgSz w:w="11906" w:h="16838"/>
          <w:pgMar w:top="1440" w:right="1800" w:bottom="1440" w:left="1800" w:header="720" w:footer="720" w:gutter="0"/>
          <w:pgNumType w:fmt="numberInDash" w:start="1"/>
          <w:cols w:space="720" w:num="1"/>
          <w:docGrid w:type="lines" w:linePitch="312" w:charSpace="0"/>
        </w:sectPr>
      </w:pPr>
      <w:r>
        <w:rPr>
          <w:rFonts w:hint="eastAsia" w:ascii="Times New Roman" w:hAnsi="Times New Roman" w:eastAsia="方正小标宋简体" w:cs="方正小标宋简体"/>
          <w:sz w:val="52"/>
          <w:szCs w:val="52"/>
          <w:highlight w:val="none"/>
          <w:lang w:bidi="ar"/>
        </w:rPr>
        <w:t>2022年部门预算</w:t>
      </w:r>
    </w:p>
    <w:p>
      <w:pPr>
        <w:pStyle w:val="4"/>
        <w:widowControl/>
        <w:numPr>
          <w:ilvl w:val="0"/>
          <w:numId w:val="3"/>
        </w:numPr>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部门收支总表（公开表1）</w:t>
      </w:r>
    </w:p>
    <w:tbl>
      <w:tblPr>
        <w:tblStyle w:val="5"/>
        <w:tblW w:w="123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25"/>
        <w:gridCol w:w="1969"/>
        <w:gridCol w:w="4924"/>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2387" w:type="dxa"/>
            <w:gridSpan w:val="4"/>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highlight w:val="none"/>
                <w:u w:val="none"/>
              </w:rPr>
            </w:pPr>
            <w:r>
              <w:rPr>
                <w:rFonts w:hint="eastAsia" w:ascii="黑体" w:hAnsi="宋体" w:eastAsia="黑体" w:cs="黑体"/>
                <w:b/>
                <w:bCs/>
                <w:i w:val="0"/>
                <w:iCs w:val="0"/>
                <w:color w:val="000000"/>
                <w:kern w:val="0"/>
                <w:sz w:val="32"/>
                <w:szCs w:val="32"/>
                <w:highlight w:val="none"/>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492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highlight w:val="none"/>
                <w:u w:val="none"/>
              </w:rPr>
            </w:pPr>
            <w:r>
              <w:rPr>
                <w:rFonts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收    入</w:t>
            </w:r>
          </w:p>
        </w:tc>
        <w:tc>
          <w:tcPr>
            <w:tcW w:w="0" w:type="auto"/>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预算数</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一、一般公共预算拨款收入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二、政府性基金预算拨款收入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三、国有资本经营预算拨款收入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四、事业收入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五、事业单位经营收入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六、其他收入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九、社会保险基金支出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十、卫生健康支出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十一、节能环保支出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十二、城乡社区支出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十三、农林水支出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十四、交通运输支出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十五、资源勘探工业信息等支出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十六、商业服务业等支出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十七、金融支出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十八、援助其他地区支出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十九、自然资源海洋气象等支出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二十、住房保障支出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二十一、粮油物资储备支出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二十二、国有资本经营预算支出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二十三、灾害防治及应急管理支出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二十四、预备费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二十五、其他支出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二十六、转移性支出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二十七、债务还本支出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二十八、债务付息支出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二十九、债务发行费用支出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三十、抗疫特别国债安排的支出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 年 收 入 合 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 年 支 出 合 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七、用事业基金弥补收支差额</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三十一、事业单位结余分配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八、上年结转</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其中：转入事业基金</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3525" w:type="dxa"/>
            <w:tcBorders>
              <w:top w:val="single" w:color="C0C0C0" w:sz="4" w:space="0"/>
              <w:left w:val="single" w:color="C0C0C0" w:sz="4" w:space="0"/>
              <w:bottom w:val="single" w:color="C0C0C0" w:sz="4" w:space="0"/>
              <w:right w:val="single" w:color="C0C0C0" w:sz="4" w:space="0"/>
            </w:tcBorders>
            <w:shd w:val="clear" w:color="auto" w:fill="auto"/>
            <w:vAlign w:val="center"/>
          </w:tcPr>
          <w:p>
            <w:pPr>
              <w:rPr>
                <w:rFonts w:hint="eastAsia" w:ascii="Hiragino Sans GB" w:hAnsi="Hiragino Sans GB" w:eastAsia="Hiragino Sans GB" w:cs="Hiragino Sans GB"/>
                <w:i w:val="0"/>
                <w:iCs w:val="0"/>
                <w:color w:val="000000"/>
                <w:sz w:val="18"/>
                <w:szCs w:val="18"/>
                <w:highlight w:val="none"/>
                <w:u w:val="none"/>
              </w:rPr>
            </w:pPr>
          </w:p>
        </w:tc>
        <w:tc>
          <w:tcPr>
            <w:tcW w:w="1969" w:type="dxa"/>
            <w:tcBorders>
              <w:top w:val="single" w:color="C0C0C0" w:sz="4" w:space="0"/>
              <w:left w:val="single" w:color="C0C0C0" w:sz="4" w:space="0"/>
              <w:bottom w:val="single" w:color="C0C0C0" w:sz="4" w:space="0"/>
              <w:right w:val="single" w:color="C0C0C0" w:sz="4" w:space="0"/>
            </w:tcBorders>
            <w:shd w:val="clear" w:color="auto" w:fill="auto"/>
            <w:vAlign w:val="center"/>
          </w:tcPr>
          <w:p>
            <w:pPr>
              <w:rPr>
                <w:rFonts w:hint="default" w:ascii="Hiragino Sans GB" w:hAnsi="Hiragino Sans GB" w:eastAsia="Hiragino Sans GB" w:cs="Hiragino Sans GB"/>
                <w:i w:val="0"/>
                <w:iCs w:val="0"/>
                <w:color w:val="000000"/>
                <w:sz w:val="18"/>
                <w:szCs w:val="18"/>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三十二、结转下年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收  入  总  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支  出  总  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r>
    </w:tbl>
    <w:p>
      <w:pPr>
        <w:pStyle w:val="4"/>
        <w:widowControl/>
        <w:numPr>
          <w:ilvl w:val="0"/>
          <w:numId w:val="0"/>
        </w:numPr>
        <w:suppressAutoHyphens/>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highlight w:val="none"/>
        </w:r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二、部门收入总表（公开表1-1）</w:t>
      </w:r>
    </w:p>
    <w:tbl>
      <w:tblPr>
        <w:tblStyle w:val="5"/>
        <w:tblW w:w="161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5"/>
        <w:gridCol w:w="2856"/>
        <w:gridCol w:w="840"/>
        <w:gridCol w:w="780"/>
        <w:gridCol w:w="1410"/>
        <w:gridCol w:w="1445"/>
        <w:gridCol w:w="1503"/>
        <w:gridCol w:w="615"/>
        <w:gridCol w:w="1095"/>
        <w:gridCol w:w="645"/>
        <w:gridCol w:w="990"/>
        <w:gridCol w:w="1155"/>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6125" w:type="dxa"/>
            <w:gridSpan w:val="13"/>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141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166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1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09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4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99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15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3855"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84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7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上年结转</w:t>
            </w:r>
          </w:p>
        </w:tc>
        <w:tc>
          <w:tcPr>
            <w:tcW w:w="141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一般公共预算拨款收入</w:t>
            </w:r>
          </w:p>
        </w:tc>
        <w:tc>
          <w:tcPr>
            <w:tcW w:w="145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政府性基金预算拨款收入</w:t>
            </w:r>
          </w:p>
        </w:tc>
        <w:tc>
          <w:tcPr>
            <w:tcW w:w="166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国有资本经营预算拨款收入</w:t>
            </w:r>
          </w:p>
        </w:tc>
        <w:tc>
          <w:tcPr>
            <w:tcW w:w="61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事业收入</w:t>
            </w:r>
          </w:p>
        </w:tc>
        <w:tc>
          <w:tcPr>
            <w:tcW w:w="10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 xml:space="preserve">事业单位经营收入 </w:t>
            </w:r>
          </w:p>
        </w:tc>
        <w:tc>
          <w:tcPr>
            <w:tcW w:w="64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其他收入</w:t>
            </w:r>
          </w:p>
        </w:tc>
        <w:tc>
          <w:tcPr>
            <w:tcW w:w="99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上级补助收入</w:t>
            </w:r>
          </w:p>
        </w:tc>
        <w:tc>
          <w:tcPr>
            <w:tcW w:w="115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附属单位上缴收入</w:t>
            </w:r>
          </w:p>
        </w:tc>
        <w:tc>
          <w:tcPr>
            <w:tcW w:w="162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03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282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84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7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41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45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66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61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64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99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15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62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0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282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84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7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41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45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66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61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0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64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99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15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62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Style w:val="16"/>
                <w:highlight w:val="none"/>
                <w:lang w:val="en-US" w:eastAsia="zh-CN" w:bidi="ar"/>
              </w:rPr>
              <w:t>乐山市文化和旅游数据中心</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spacing w:before="0" w:beforeAutospacing="0" w:after="0" w:afterAutospacing="0" w:line="600" w:lineRule="exact"/>
        <w:jc w:val="both"/>
        <w:outlineLvl w:val="1"/>
        <w:rPr>
          <w:rFonts w:hint="eastAsia" w:ascii="Times New Roman" w:hAnsi="Times New Roman" w:eastAsia="仿宋_GB2312" w:cs="仿宋_GB2312"/>
          <w:color w:val="333333"/>
          <w:sz w:val="32"/>
          <w:szCs w:val="32"/>
          <w:highlight w:val="none"/>
        </w:r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三、部门支出总表（公开表1-2）</w:t>
      </w:r>
    </w:p>
    <w:tbl>
      <w:tblPr>
        <w:tblStyle w:val="5"/>
        <w:tblW w:w="14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4"/>
        <w:gridCol w:w="492"/>
        <w:gridCol w:w="492"/>
        <w:gridCol w:w="1238"/>
        <w:gridCol w:w="4328"/>
        <w:gridCol w:w="868"/>
        <w:gridCol w:w="1238"/>
        <w:gridCol w:w="1253"/>
        <w:gridCol w:w="1796"/>
        <w:gridCol w:w="2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4799" w:type="dxa"/>
            <w:gridSpan w:val="10"/>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112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5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基本支出</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项目支出</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上缴上级支出</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乐山市文化和旅游数据中心</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其他文化和旅游支出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45.23</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机关事业单位职业年金缴费支出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其他社会保障和就业支出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spacing w:before="0" w:beforeAutospacing="0" w:after="0" w:afterAutospacing="0" w:line="600" w:lineRule="exact"/>
        <w:ind w:firstLine="0" w:firstLineChars="0"/>
        <w:jc w:val="both"/>
        <w:outlineLvl w:val="1"/>
        <w:rPr>
          <w:rFonts w:hint="eastAsia" w:ascii="Times New Roman" w:hAnsi="Times New Roman" w:eastAsia="仿宋_GB2312" w:cs="仿宋_GB2312"/>
          <w:color w:val="333333"/>
          <w:sz w:val="32"/>
          <w:szCs w:val="32"/>
          <w:highlight w:val="none"/>
        </w:rPr>
      </w:pPr>
    </w:p>
    <w:p>
      <w:pPr>
        <w:pStyle w:val="4"/>
        <w:widowControl/>
        <w:numPr>
          <w:ilvl w:val="0"/>
          <w:numId w:val="4"/>
        </w:numPr>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财政拨款收支预算总表（公开表2）</w:t>
      </w:r>
    </w:p>
    <w:tbl>
      <w:tblPr>
        <w:tblStyle w:val="5"/>
        <w:tblW w:w="136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6"/>
        <w:gridCol w:w="932"/>
        <w:gridCol w:w="3055"/>
        <w:gridCol w:w="812"/>
        <w:gridCol w:w="1693"/>
        <w:gridCol w:w="1954"/>
        <w:gridCol w:w="2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3695" w:type="dxa"/>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highlight w:val="none"/>
                <w:u w:val="none"/>
              </w:rPr>
            </w:pPr>
            <w:r>
              <w:rPr>
                <w:rFonts w:hint="eastAsia" w:ascii="黑体" w:hAnsi="宋体" w:eastAsia="黑体" w:cs="黑体"/>
                <w:b/>
                <w:bCs/>
                <w:i w:val="0"/>
                <w:iCs w:val="0"/>
                <w:color w:val="000000"/>
                <w:kern w:val="0"/>
                <w:sz w:val="32"/>
                <w:szCs w:val="32"/>
                <w:highlight w:val="none"/>
                <w:u w:val="none"/>
                <w:lang w:val="en-US" w:eastAsia="zh-CN" w:bidi="ar"/>
              </w:rPr>
              <w:t>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301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6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65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92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highlight w:val="none"/>
                <w:u w:val="none"/>
              </w:rPr>
            </w:pPr>
            <w:r>
              <w:rPr>
                <w:rFonts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收    入</w:t>
            </w:r>
          </w:p>
        </w:tc>
        <w:tc>
          <w:tcPr>
            <w:tcW w:w="0" w:type="auto"/>
            <w:gridSpan w:val="5"/>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预算数</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一般公共预算</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政府性基金预算</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一、本年收入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一、本年支出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外交支出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一、上年结转</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公共安全支出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教育支出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科学技术支出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文化旅游体育与传媒支出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社会保障和就业支出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社会保险基金支出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卫生健康支出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节能环保支出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城乡社区支出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农林水支出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交通运输支出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资源勘探工业信息等支出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商业服务业等支出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金融支出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援助其他地区支出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自然资源海洋气象等支出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住房保障支出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粮油物资储备支出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灾害防治及应急管理支出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债务付息支出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债务发行费用支出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抗疫特别国债安排的支出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bl>
    <w:p>
      <w:pPr>
        <w:pStyle w:val="4"/>
        <w:widowControl/>
        <w:numPr>
          <w:ilvl w:val="0"/>
          <w:numId w:val="0"/>
        </w:numPr>
        <w:spacing w:before="0" w:beforeAutospacing="0" w:after="0" w:afterAutospacing="0" w:line="600" w:lineRule="exact"/>
        <w:ind w:leftChars="200" w:firstLine="0" w:firstLineChars="0"/>
        <w:jc w:val="both"/>
        <w:outlineLvl w:val="1"/>
        <w:rPr>
          <w:rFonts w:hint="eastAsia" w:ascii="Times New Roman" w:hAnsi="Times New Roman" w:eastAsia="仿宋_GB2312" w:cs="仿宋_GB2312"/>
          <w:color w:val="333333"/>
          <w:sz w:val="32"/>
          <w:szCs w:val="32"/>
          <w:highlight w:val="none"/>
        </w:r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五、财政拨款支出预算表（部门经济分类科目）（公开表2-1）</w:t>
      </w:r>
    </w:p>
    <w:tbl>
      <w:tblPr>
        <w:tblStyle w:val="5"/>
        <w:tblW w:w="149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8"/>
        <w:gridCol w:w="738"/>
        <w:gridCol w:w="1125"/>
        <w:gridCol w:w="3870"/>
        <w:gridCol w:w="840"/>
        <w:gridCol w:w="840"/>
        <w:gridCol w:w="840"/>
        <w:gridCol w:w="1125"/>
        <w:gridCol w:w="780"/>
        <w:gridCol w:w="645"/>
        <w:gridCol w:w="720"/>
        <w:gridCol w:w="675"/>
        <w:gridCol w:w="645"/>
        <w:gridCol w:w="69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4976" w:type="dxa"/>
            <w:gridSpan w:val="15"/>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财政拨款支出预算表（部门经济分类科目）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4"/>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84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112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8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4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2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7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4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9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70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471" w:type="dxa"/>
            <w:gridSpan w:val="4"/>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840" w:type="dxa"/>
            <w:vMerge w:val="restart"/>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7665" w:type="dxa"/>
            <w:gridSpan w:val="10"/>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省级当年财政拨款安排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476" w:type="dxa"/>
            <w:gridSpan w:val="2"/>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科目编码</w:t>
            </w:r>
          </w:p>
        </w:tc>
        <w:tc>
          <w:tcPr>
            <w:tcW w:w="1125" w:type="dxa"/>
            <w:vMerge w:val="restart"/>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3870" w:type="dxa"/>
            <w:vMerge w:val="restart"/>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840" w:type="dxa"/>
            <w:vMerge w:val="continue"/>
            <w:tcBorders>
              <w:top w:val="single" w:color="C0C0C0" w:sz="4" w:space="0"/>
              <w:left w:val="single" w:color="C0C0C0" w:sz="4" w:space="0"/>
              <w:bottom w:val="single" w:color="C0C0C0" w:sz="4" w:space="0"/>
              <w:right w:val="single" w:color="C0C0C0"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840" w:type="dxa"/>
            <w:vMerge w:val="restart"/>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2745" w:type="dxa"/>
            <w:gridSpan w:val="3"/>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一般公共预算拨款</w:t>
            </w:r>
          </w:p>
        </w:tc>
        <w:tc>
          <w:tcPr>
            <w:tcW w:w="2040" w:type="dxa"/>
            <w:gridSpan w:val="3"/>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政府性基金安排</w:t>
            </w:r>
          </w:p>
        </w:tc>
        <w:tc>
          <w:tcPr>
            <w:tcW w:w="2040" w:type="dxa"/>
            <w:gridSpan w:val="3"/>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国有资本经营预算安排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38"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类</w:t>
            </w:r>
          </w:p>
        </w:tc>
        <w:tc>
          <w:tcPr>
            <w:tcW w:w="738"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款</w:t>
            </w:r>
          </w:p>
        </w:tc>
        <w:tc>
          <w:tcPr>
            <w:tcW w:w="1125" w:type="dxa"/>
            <w:vMerge w:val="continue"/>
            <w:tcBorders>
              <w:top w:val="single" w:color="C0C0C0" w:sz="4" w:space="0"/>
              <w:left w:val="single" w:color="C0C0C0" w:sz="4" w:space="0"/>
              <w:bottom w:val="single" w:color="C0C0C0" w:sz="4" w:space="0"/>
              <w:right w:val="single" w:color="C0C0C0"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3870" w:type="dxa"/>
            <w:vMerge w:val="continue"/>
            <w:tcBorders>
              <w:top w:val="single" w:color="C0C0C0" w:sz="4" w:space="0"/>
              <w:left w:val="single" w:color="C0C0C0" w:sz="4" w:space="0"/>
              <w:bottom w:val="single" w:color="C0C0C0" w:sz="4" w:space="0"/>
              <w:right w:val="single" w:color="C0C0C0"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840" w:type="dxa"/>
            <w:vMerge w:val="continue"/>
            <w:tcBorders>
              <w:top w:val="single" w:color="C0C0C0" w:sz="4" w:space="0"/>
              <w:left w:val="single" w:color="C0C0C0" w:sz="4" w:space="0"/>
              <w:bottom w:val="single" w:color="C0C0C0" w:sz="4" w:space="0"/>
              <w:right w:val="single" w:color="C0C0C0"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840" w:type="dxa"/>
            <w:vMerge w:val="continue"/>
            <w:tcBorders>
              <w:top w:val="single" w:color="C0C0C0" w:sz="4" w:space="0"/>
              <w:left w:val="single" w:color="C0C0C0" w:sz="4" w:space="0"/>
              <w:bottom w:val="single" w:color="C0C0C0" w:sz="4" w:space="0"/>
              <w:right w:val="single" w:color="C0C0C0"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840"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小计</w:t>
            </w:r>
          </w:p>
        </w:tc>
        <w:tc>
          <w:tcPr>
            <w:tcW w:w="1125"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基本支出</w:t>
            </w:r>
          </w:p>
        </w:tc>
        <w:tc>
          <w:tcPr>
            <w:tcW w:w="780"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项目支出</w:t>
            </w:r>
          </w:p>
        </w:tc>
        <w:tc>
          <w:tcPr>
            <w:tcW w:w="645"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小计</w:t>
            </w:r>
          </w:p>
        </w:tc>
        <w:tc>
          <w:tcPr>
            <w:tcW w:w="720"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基本支出</w:t>
            </w:r>
          </w:p>
        </w:tc>
        <w:tc>
          <w:tcPr>
            <w:tcW w:w="675"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项目支出</w:t>
            </w:r>
          </w:p>
        </w:tc>
        <w:tc>
          <w:tcPr>
            <w:tcW w:w="645"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小计</w:t>
            </w:r>
          </w:p>
        </w:tc>
        <w:tc>
          <w:tcPr>
            <w:tcW w:w="690"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基本支出</w:t>
            </w:r>
          </w:p>
        </w:tc>
        <w:tc>
          <w:tcPr>
            <w:tcW w:w="705" w:type="dxa"/>
            <w:tcBorders>
              <w:top w:val="single" w:color="C0C0C0" w:sz="4" w:space="0"/>
              <w:left w:val="single" w:color="C0C0C0" w:sz="4" w:space="0"/>
              <w:bottom w:val="single" w:color="C0C0C0" w:sz="4" w:space="0"/>
              <w:right w:val="single" w:color="C0C0C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乐山市文化和旅游数据中心</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工资福利支出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地方津贴补贴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工伤保险</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失业保险</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残疾人就业保障金</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商品和服务支出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日常办公用品</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书报杂志</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办公印刷费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办公卫生用水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饮用水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办公用电费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邮寄费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网络通讯费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差旅城市间交通费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差旅住宿费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差旅伙食补助费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差旅公杂费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其他劳务费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工会经费（比例）</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工会经费（补充）</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事业单位出租车费用</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午餐补助费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公用经费预留</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bl>
    <w:p>
      <w:pPr>
        <w:pStyle w:val="4"/>
        <w:widowControl/>
        <w:spacing w:before="0" w:beforeAutospacing="0" w:after="0" w:afterAutospacing="0" w:line="600" w:lineRule="exact"/>
        <w:jc w:val="both"/>
        <w:outlineLvl w:val="1"/>
        <w:rPr>
          <w:rFonts w:hint="eastAsia" w:ascii="Times New Roman" w:hAnsi="Times New Roman" w:eastAsia="仿宋_GB2312" w:cs="仿宋_GB2312"/>
          <w:color w:val="333333"/>
          <w:sz w:val="32"/>
          <w:szCs w:val="32"/>
          <w:highlight w:val="none"/>
        </w:rPr>
      </w:pPr>
    </w:p>
    <w:p>
      <w:pPr>
        <w:pStyle w:val="4"/>
        <w:widowControl/>
        <w:numPr>
          <w:ilvl w:val="0"/>
          <w:numId w:val="0"/>
        </w:numPr>
        <w:spacing w:before="0" w:beforeAutospacing="0" w:after="0" w:afterAutospacing="0" w:line="600" w:lineRule="exact"/>
        <w:ind w:leftChars="200" w:firstLine="320" w:firstLineChars="1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lang w:eastAsia="zh-CN"/>
        </w:rPr>
        <w:t>六、</w:t>
      </w:r>
      <w:r>
        <w:rPr>
          <w:rFonts w:hint="eastAsia" w:ascii="Times New Roman" w:hAnsi="Times New Roman" w:eastAsia="仿宋_GB2312" w:cs="仿宋_GB2312"/>
          <w:color w:val="333333"/>
          <w:sz w:val="32"/>
          <w:szCs w:val="32"/>
          <w:highlight w:val="none"/>
        </w:rPr>
        <w:t>一般公共预算支出预算表（公开表3）</w:t>
      </w:r>
    </w:p>
    <w:tbl>
      <w:tblPr>
        <w:tblStyle w:val="5"/>
        <w:tblW w:w="12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9"/>
        <w:gridCol w:w="520"/>
        <w:gridCol w:w="520"/>
        <w:gridCol w:w="1308"/>
        <w:gridCol w:w="4575"/>
        <w:gridCol w:w="917"/>
        <w:gridCol w:w="1645"/>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2249"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199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19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当年财政拨款安排</w:t>
            </w:r>
          </w:p>
        </w:tc>
        <w:tc>
          <w:tcPr>
            <w:tcW w:w="18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上年结转安排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19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19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180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乐山市文化广播电视和旅游局</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其他文化和旅游支出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45.23</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机关事业单位职业年金缴费支出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其他社会保障和就业支出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numPr>
          <w:ilvl w:val="0"/>
          <w:numId w:val="0"/>
        </w:numPr>
        <w:spacing w:before="0" w:beforeAutospacing="0" w:after="0" w:afterAutospacing="0" w:line="600" w:lineRule="exact"/>
        <w:ind w:firstLine="0" w:firstLineChars="0"/>
        <w:jc w:val="both"/>
        <w:outlineLvl w:val="1"/>
        <w:rPr>
          <w:rFonts w:hint="eastAsia" w:ascii="Times New Roman" w:hAnsi="Times New Roman" w:eastAsia="仿宋_GB2312" w:cs="仿宋_GB2312"/>
          <w:color w:val="333333"/>
          <w:sz w:val="32"/>
          <w:szCs w:val="32"/>
          <w:highlight w:val="none"/>
        </w:rPr>
      </w:pPr>
    </w:p>
    <w:p>
      <w:pPr>
        <w:pStyle w:val="4"/>
        <w:widowControl/>
        <w:numPr>
          <w:ilvl w:val="0"/>
          <w:numId w:val="0"/>
        </w:numPr>
        <w:spacing w:before="0" w:beforeAutospacing="0" w:after="0" w:afterAutospacing="0" w:line="600" w:lineRule="exact"/>
        <w:ind w:leftChars="200" w:firstLine="320" w:firstLineChars="1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lang w:eastAsia="zh-CN"/>
        </w:rPr>
        <w:t>七、</w:t>
      </w:r>
      <w:r>
        <w:rPr>
          <w:rFonts w:hint="eastAsia" w:ascii="Times New Roman" w:hAnsi="Times New Roman" w:eastAsia="仿宋_GB2312" w:cs="仿宋_GB2312"/>
          <w:color w:val="333333"/>
          <w:sz w:val="32"/>
          <w:szCs w:val="32"/>
          <w:highlight w:val="none"/>
        </w:rPr>
        <w:t>一般公共预算基本支出预算表（公开表3-1）</w:t>
      </w:r>
    </w:p>
    <w:tbl>
      <w:tblPr>
        <w:tblStyle w:val="5"/>
        <w:tblW w:w="10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492"/>
        <w:gridCol w:w="1238"/>
        <w:gridCol w:w="3958"/>
        <w:gridCol w:w="868"/>
        <w:gridCol w:w="1238"/>
        <w:gridCol w:w="1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0386" w:type="dxa"/>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4"/>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4"/>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科目编码</w:t>
            </w:r>
          </w:p>
        </w:tc>
        <w:tc>
          <w:tcPr>
            <w:tcW w:w="0" w:type="auto"/>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0" w:type="auto"/>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0" w:type="auto"/>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人员经费</w:t>
            </w:r>
          </w:p>
        </w:tc>
        <w:tc>
          <w:tcPr>
            <w:tcW w:w="0" w:type="auto"/>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类</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款</w:t>
            </w:r>
          </w:p>
        </w:tc>
        <w:tc>
          <w:tcPr>
            <w:tcW w:w="0" w:type="auto"/>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乐山市文化和旅游数据中心</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59.86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工资福利支出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地方津贴补贴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工伤保险</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失业保险</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3011203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残疾人就业保障金</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商品和服务支出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日常办公用品</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书报杂志</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办公印刷费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办公卫生用水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饮用水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办公用电费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邮寄费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网络通讯费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差旅城市间交通费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差旅住宿费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3021103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差旅伙食补助费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3021104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差旅公杂费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3022699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其他劳务费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3022801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工会经费（比例）</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工会经费（补充）</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事业单位出租车费用</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午餐补助费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3029998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公用经费预留</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0.45</w:t>
            </w:r>
          </w:p>
        </w:tc>
      </w:tr>
    </w:tbl>
    <w:p>
      <w:pPr>
        <w:pStyle w:val="4"/>
        <w:widowControl/>
        <w:numPr>
          <w:ilvl w:val="0"/>
          <w:numId w:val="0"/>
        </w:numPr>
        <w:spacing w:before="0" w:beforeAutospacing="0" w:after="0" w:afterAutospacing="0" w:line="600" w:lineRule="exact"/>
        <w:jc w:val="both"/>
        <w:outlineLvl w:val="1"/>
        <w:rPr>
          <w:rFonts w:hint="eastAsia" w:ascii="Times New Roman" w:hAnsi="Times New Roman" w:eastAsia="仿宋_GB2312" w:cs="仿宋_GB2312"/>
          <w:color w:val="333333"/>
          <w:sz w:val="32"/>
          <w:szCs w:val="32"/>
          <w:highlight w:val="none"/>
        </w:rPr>
      </w:pPr>
    </w:p>
    <w:p>
      <w:pPr>
        <w:pStyle w:val="4"/>
        <w:widowControl/>
        <w:numPr>
          <w:ilvl w:val="0"/>
          <w:numId w:val="0"/>
        </w:numPr>
        <w:spacing w:before="0" w:beforeAutospacing="0" w:after="0" w:afterAutospacing="0" w:line="600" w:lineRule="exact"/>
        <w:ind w:leftChars="200" w:firstLine="320" w:firstLineChars="1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lang w:eastAsia="zh-CN"/>
        </w:rPr>
        <w:t>八、</w:t>
      </w:r>
      <w:r>
        <w:rPr>
          <w:rFonts w:hint="eastAsia" w:ascii="Times New Roman" w:hAnsi="Times New Roman" w:eastAsia="仿宋_GB2312" w:cs="仿宋_GB2312"/>
          <w:color w:val="333333"/>
          <w:sz w:val="32"/>
          <w:szCs w:val="32"/>
          <w:highlight w:val="none"/>
        </w:rPr>
        <w:t>一般公共预算项目支出预算表（公开表3-2）</w:t>
      </w:r>
    </w:p>
    <w:tbl>
      <w:tblPr>
        <w:tblStyle w:val="5"/>
        <w:tblW w:w="106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1"/>
        <w:gridCol w:w="761"/>
        <w:gridCol w:w="761"/>
        <w:gridCol w:w="1915"/>
        <w:gridCol w:w="3452"/>
        <w:gridCol w:w="3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0707" w:type="dxa"/>
            <w:gridSpan w:val="6"/>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一般公共预算项目支出预算表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numPr>
          <w:ilvl w:val="0"/>
          <w:numId w:val="0"/>
        </w:numPr>
        <w:spacing w:before="0" w:beforeAutospacing="0" w:after="0" w:afterAutospacing="0" w:line="600" w:lineRule="exact"/>
        <w:jc w:val="both"/>
        <w:outlineLvl w:val="1"/>
        <w:rPr>
          <w:rFonts w:hint="eastAsia" w:ascii="Times New Roman" w:hAnsi="Times New Roman" w:eastAsia="仿宋_GB2312" w:cs="仿宋_GB2312"/>
          <w:color w:val="333333"/>
          <w:sz w:val="32"/>
          <w:szCs w:val="32"/>
          <w:highlight w:val="none"/>
        </w:rPr>
      </w:pPr>
    </w:p>
    <w:p>
      <w:pPr>
        <w:pStyle w:val="4"/>
        <w:widowControl/>
        <w:numPr>
          <w:ilvl w:val="0"/>
          <w:numId w:val="0"/>
        </w:numPr>
        <w:spacing w:before="0" w:beforeAutospacing="0" w:after="0" w:afterAutospacing="0" w:line="600" w:lineRule="exact"/>
        <w:ind w:leftChars="200" w:firstLine="320" w:firstLineChars="1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lang w:eastAsia="zh-CN"/>
        </w:rPr>
        <w:t>九、</w:t>
      </w:r>
      <w:r>
        <w:rPr>
          <w:rFonts w:hint="eastAsia" w:ascii="Times New Roman" w:hAnsi="Times New Roman" w:eastAsia="仿宋_GB2312" w:cs="仿宋_GB2312"/>
          <w:color w:val="333333"/>
          <w:sz w:val="32"/>
          <w:szCs w:val="32"/>
          <w:highlight w:val="none"/>
        </w:rPr>
        <w:t>一般公共预算“三公”经费支出预算表（公开表3-3）</w:t>
      </w:r>
    </w:p>
    <w:tbl>
      <w:tblPr>
        <w:tblStyle w:val="5"/>
        <w:tblW w:w="132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0"/>
        <w:gridCol w:w="3318"/>
        <w:gridCol w:w="736"/>
        <w:gridCol w:w="1331"/>
        <w:gridCol w:w="736"/>
        <w:gridCol w:w="1972"/>
        <w:gridCol w:w="1972"/>
        <w:gridCol w:w="1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3259"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一般公共预算“三公”经费支出预算表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gridSpan w:val="6"/>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当年财政拨款预算安排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15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因公出国（境）费用</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公务用车购置及运行费</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150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小计</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公务用车购置费</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公务用车运行费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329311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乐山市文化和旅游数据中心</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numPr>
          <w:ilvl w:val="0"/>
          <w:numId w:val="0"/>
        </w:numPr>
        <w:spacing w:before="0" w:beforeAutospacing="0" w:after="0" w:afterAutospacing="0" w:line="600" w:lineRule="exact"/>
        <w:jc w:val="both"/>
        <w:outlineLvl w:val="1"/>
        <w:rPr>
          <w:rFonts w:hint="eastAsia" w:ascii="Times New Roman" w:hAnsi="Times New Roman" w:eastAsia="仿宋_GB2312" w:cs="仿宋_GB2312"/>
          <w:color w:val="333333"/>
          <w:sz w:val="32"/>
          <w:szCs w:val="32"/>
          <w:highlight w:val="none"/>
        </w:rPr>
      </w:pPr>
    </w:p>
    <w:p>
      <w:pPr>
        <w:pStyle w:val="4"/>
        <w:widowControl/>
        <w:numPr>
          <w:ilvl w:val="0"/>
          <w:numId w:val="5"/>
        </w:numPr>
        <w:spacing w:before="0" w:beforeAutospacing="0" w:after="0" w:afterAutospacing="0" w:line="600" w:lineRule="exact"/>
        <w:ind w:leftChars="200" w:firstLine="320" w:firstLineChars="1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政府性基金预算支出表（公开表4）</w:t>
      </w:r>
    </w:p>
    <w:p>
      <w:pPr>
        <w:pStyle w:val="4"/>
        <w:widowControl/>
        <w:numPr>
          <w:ilvl w:val="0"/>
          <w:numId w:val="0"/>
        </w:numPr>
        <w:suppressAutoHyphens/>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highlight w:val="none"/>
        </w:rPr>
      </w:pPr>
    </w:p>
    <w:p>
      <w:pPr>
        <w:pStyle w:val="4"/>
        <w:widowControl/>
        <w:numPr>
          <w:ilvl w:val="0"/>
          <w:numId w:val="0"/>
        </w:numPr>
        <w:suppressAutoHyphens/>
        <w:spacing w:before="0" w:beforeAutospacing="0" w:after="0" w:afterAutospacing="0" w:line="600" w:lineRule="exact"/>
        <w:ind w:right="0" w:rightChars="0"/>
        <w:jc w:val="both"/>
        <w:outlineLvl w:val="1"/>
        <w:rPr>
          <w:rFonts w:hint="eastAsia" w:ascii="Times New Roman" w:hAnsi="Times New Roman" w:eastAsia="仿宋_GB2312" w:cs="仿宋_GB2312"/>
          <w:color w:val="333333"/>
          <w:sz w:val="32"/>
          <w:szCs w:val="32"/>
          <w:highlight w:val="none"/>
        </w:rPr>
      </w:pPr>
    </w:p>
    <w:tbl>
      <w:tblPr>
        <w:tblStyle w:val="5"/>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9"/>
        <w:gridCol w:w="809"/>
        <w:gridCol w:w="809"/>
        <w:gridCol w:w="2037"/>
        <w:gridCol w:w="3672"/>
        <w:gridCol w:w="1219"/>
        <w:gridCol w:w="2037"/>
        <w:gridCol w:w="3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4645"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政府性基金支出预算表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基本支出</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    计</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numPr>
          <w:ilvl w:val="0"/>
          <w:numId w:val="0"/>
        </w:numPr>
        <w:spacing w:before="0" w:beforeAutospacing="0" w:after="0" w:afterAutospacing="0" w:line="600" w:lineRule="exact"/>
        <w:jc w:val="both"/>
        <w:outlineLvl w:val="1"/>
        <w:rPr>
          <w:rFonts w:hint="eastAsia" w:ascii="Times New Roman" w:hAnsi="Times New Roman" w:eastAsia="仿宋_GB2312" w:cs="仿宋_GB2312"/>
          <w:color w:val="333333"/>
          <w:sz w:val="32"/>
          <w:szCs w:val="32"/>
          <w:highlight w:val="none"/>
        </w:r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十一、政府性基金预算“三公”经费支出预算表（公开</w:t>
      </w:r>
    </w:p>
    <w:p>
      <w:pPr>
        <w:pStyle w:val="4"/>
        <w:widowControl/>
        <w:spacing w:before="0" w:beforeAutospacing="0" w:after="0" w:afterAutospacing="0" w:line="600" w:lineRule="exact"/>
        <w:ind w:firstLine="1600" w:firstLineChars="500"/>
        <w:jc w:val="both"/>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表4-1）</w:t>
      </w:r>
    </w:p>
    <w:tbl>
      <w:tblPr>
        <w:tblStyle w:val="5"/>
        <w:tblW w:w="15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99"/>
        <w:gridCol w:w="2702"/>
        <w:gridCol w:w="897"/>
        <w:gridCol w:w="2121"/>
        <w:gridCol w:w="897"/>
        <w:gridCol w:w="2402"/>
        <w:gridCol w:w="240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5312"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政府性基金预算“三公”经费支出预算表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单位编码</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gridSpan w:val="6"/>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当年财政拨款预算安排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223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因公出国（境）费用</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公务用车购置及运行费</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22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小计</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公务用车购置费</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公务用车运行费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spacing w:before="0" w:beforeAutospacing="0" w:after="0" w:afterAutospacing="0" w:line="600" w:lineRule="exact"/>
        <w:ind w:firstLine="0" w:firstLineChars="0"/>
        <w:jc w:val="both"/>
        <w:rPr>
          <w:rFonts w:hint="eastAsia" w:ascii="Times New Roman" w:hAnsi="Times New Roman" w:eastAsia="仿宋_GB2312" w:cs="仿宋_GB2312"/>
          <w:color w:val="333333"/>
          <w:sz w:val="32"/>
          <w:szCs w:val="32"/>
          <w:highlight w:val="none"/>
        </w:rPr>
      </w:pPr>
    </w:p>
    <w:p>
      <w:pPr>
        <w:pStyle w:val="4"/>
        <w:widowControl/>
        <w:numPr>
          <w:ilvl w:val="0"/>
          <w:numId w:val="6"/>
        </w:numPr>
        <w:spacing w:before="0" w:beforeAutospacing="0" w:after="0" w:afterAutospacing="0"/>
        <w:ind w:firstLine="640" w:firstLineChars="200"/>
        <w:jc w:val="both"/>
        <w:rPr>
          <w:rFonts w:hint="eastAsia" w:ascii="Times New Roman" w:hAnsi="Times New Roman" w:eastAsia="仿宋_GB2312" w:cs="仿宋_GB2312"/>
          <w:color w:val="333333"/>
          <w:sz w:val="32"/>
          <w:szCs w:val="32"/>
          <w:highlight w:val="none"/>
        </w:rPr>
      </w:pPr>
      <w:r>
        <w:rPr>
          <w:rFonts w:hint="eastAsia" w:ascii="Times New Roman" w:hAnsi="Times New Roman" w:eastAsia="仿宋_GB2312" w:cs="仿宋_GB2312"/>
          <w:color w:val="333333"/>
          <w:sz w:val="32"/>
          <w:szCs w:val="32"/>
          <w:highlight w:val="none"/>
        </w:rPr>
        <w:t>国有资本经营预算支出表（公开表5）</w:t>
      </w:r>
    </w:p>
    <w:tbl>
      <w:tblPr>
        <w:tblStyle w:val="5"/>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9"/>
        <w:gridCol w:w="809"/>
        <w:gridCol w:w="809"/>
        <w:gridCol w:w="2037"/>
        <w:gridCol w:w="3672"/>
        <w:gridCol w:w="1219"/>
        <w:gridCol w:w="2037"/>
        <w:gridCol w:w="3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4645"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国有资本经营预算支出预算表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highlight w:val="none"/>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    目</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单位名称（科目）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基本支出</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
        <w:widowControl/>
        <w:numPr>
          <w:ilvl w:val="0"/>
          <w:numId w:val="0"/>
        </w:numPr>
        <w:suppressAutoHyphens/>
        <w:spacing w:before="0" w:beforeAutospacing="0" w:after="0" w:afterAutospacing="0"/>
        <w:ind w:right="0" w:rightChars="0"/>
        <w:jc w:val="both"/>
        <w:rPr>
          <w:rFonts w:hint="eastAsia" w:ascii="Times New Roman" w:hAnsi="Times New Roman" w:eastAsia="仿宋_GB2312" w:cs="仿宋_GB2312"/>
          <w:color w:val="333333"/>
          <w:sz w:val="32"/>
          <w:szCs w:val="32"/>
          <w:highlight w:val="none"/>
        </w:rPr>
      </w:pPr>
    </w:p>
    <w:p>
      <w:pPr>
        <w:pStyle w:val="4"/>
        <w:widowControl/>
        <w:numPr>
          <w:ilvl w:val="0"/>
          <w:numId w:val="6"/>
        </w:numPr>
        <w:spacing w:before="0" w:beforeAutospacing="0" w:after="0" w:afterAutospacing="0" w:line="600" w:lineRule="exact"/>
        <w:ind w:firstLine="640" w:firstLineChars="200"/>
        <w:jc w:val="both"/>
        <w:outlineLvl w:val="1"/>
        <w:rPr>
          <w:rFonts w:ascii="Times New Roman" w:hAnsi="Times New Roman" w:eastAsia="仿宋_GB2312" w:cs="仿宋_GB2312"/>
          <w:color w:val="333333"/>
          <w:sz w:val="32"/>
          <w:szCs w:val="32"/>
          <w:highlight w:val="none"/>
        </w:rPr>
      </w:pPr>
      <w:r>
        <w:rPr>
          <w:rFonts w:ascii="Times New Roman" w:hAnsi="Times New Roman" w:eastAsia="仿宋_GB2312" w:cs="仿宋_GB2312"/>
          <w:color w:val="333333"/>
          <w:sz w:val="32"/>
          <w:szCs w:val="32"/>
          <w:highlight w:val="none"/>
        </w:rPr>
        <w:t>部门预算项目支出绩效目标表（公开表6）</w:t>
      </w:r>
    </w:p>
    <w:tbl>
      <w:tblPr>
        <w:tblStyle w:val="5"/>
        <w:tblW w:w="13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48"/>
        <w:gridCol w:w="1508"/>
        <w:gridCol w:w="1270"/>
        <w:gridCol w:w="1475"/>
        <w:gridCol w:w="939"/>
        <w:gridCol w:w="939"/>
        <w:gridCol w:w="1206"/>
        <w:gridCol w:w="939"/>
        <w:gridCol w:w="759"/>
        <w:gridCol w:w="939"/>
        <w:gridCol w:w="578"/>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13623" w:type="dxa"/>
            <w:gridSpan w:val="1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0"/>
                <w:szCs w:val="30"/>
                <w:highlight w:val="none"/>
                <w:u w:val="none"/>
              </w:rPr>
            </w:pPr>
            <w:r>
              <w:rPr>
                <w:rFonts w:hint="eastAsia" w:ascii="宋体" w:hAnsi="宋体" w:eastAsia="宋体" w:cs="宋体"/>
                <w:b/>
                <w:bCs/>
                <w:i w:val="0"/>
                <w:iCs w:val="0"/>
                <w:color w:val="000000"/>
                <w:kern w:val="0"/>
                <w:sz w:val="30"/>
                <w:szCs w:val="30"/>
                <w:highlight w:val="none"/>
                <w:u w:val="none"/>
                <w:lang w:val="en-US" w:eastAsia="zh-CN" w:bidi="ar"/>
              </w:rPr>
              <w:t>省级部门预算项目绩效目标申报表（2022年度）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6683" w:type="dxa"/>
            <w:gridSpan w:val="4"/>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c>
          <w:tcPr>
            <w:tcW w:w="89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c>
          <w:tcPr>
            <w:tcW w:w="90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c>
          <w:tcPr>
            <w:tcW w:w="105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c>
          <w:tcPr>
            <w:tcW w:w="90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c>
          <w:tcPr>
            <w:tcW w:w="68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highlight w:val="none"/>
                <w:u w:val="none"/>
              </w:rPr>
            </w:pPr>
          </w:p>
        </w:tc>
        <w:tc>
          <w:tcPr>
            <w:tcW w:w="2503" w:type="dxa"/>
            <w:gridSpan w:val="3"/>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年度目标</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329-乐山市文化广播电视和旅游局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14.60</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2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329311-乐山市文化和旅游数据中心</w:t>
            </w:r>
          </w:p>
        </w:tc>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定额公用经费</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9.00</w:t>
            </w: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保障单位日常运转，提高预算编制质量，严格执行预算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科目调整次数</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3" w:hRule="atLeast"/>
          <w:jc w:val="center"/>
        </w:trPr>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效益指标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“三公经费”控制率[计算方法为：（三公经费实际支出数/预算安排数]×100%）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效益指标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运转保障率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4" w:hRule="atLeast"/>
          <w:jc w:val="center"/>
        </w:trPr>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质量指标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预算编制准确率（计算方法为：∣（执行数-预算数）/预算数∣）</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非定额公用经费</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5.60</w:t>
            </w: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保障单位日常运转，提高预算编制质量，严格执行预算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科目调整次数</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效益指标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运转保障率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4" w:hRule="atLeast"/>
          <w:jc w:val="center"/>
        </w:trPr>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质量指标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预算编制准确率（计算方法为：∣（执行数-预算数）/预算数∣）</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3" w:hRule="atLeast"/>
          <w:jc w:val="center"/>
        </w:trPr>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效益指标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“三公经费”控制率[计算方法为：（三公经费实际支出数/预算安排数]×100%）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反向指标</w:t>
            </w:r>
          </w:p>
        </w:tc>
      </w:tr>
    </w:tbl>
    <w:p>
      <w:pPr>
        <w:pStyle w:val="4"/>
        <w:widowControl/>
        <w:numPr>
          <w:ilvl w:val="0"/>
          <w:numId w:val="0"/>
        </w:numPr>
        <w:spacing w:before="0" w:beforeAutospacing="0" w:after="0" w:afterAutospacing="0" w:line="600" w:lineRule="exact"/>
        <w:ind w:firstLine="640" w:firstLineChars="200"/>
        <w:jc w:val="both"/>
        <w:outlineLvl w:val="1"/>
        <w:rPr>
          <w:rFonts w:ascii="Times New Roman" w:hAnsi="Times New Roman" w:eastAsia="仿宋_GB2312" w:cs="仿宋_GB2312"/>
          <w:color w:val="333333"/>
          <w:sz w:val="32"/>
          <w:szCs w:val="32"/>
          <w:highlight w:val="none"/>
        </w:rPr>
      </w:pPr>
    </w:p>
    <w:p>
      <w:pPr>
        <w:pStyle w:val="4"/>
        <w:widowControl/>
        <w:numPr>
          <w:ilvl w:val="0"/>
          <w:numId w:val="0"/>
        </w:numPr>
        <w:spacing w:before="0" w:beforeAutospacing="0" w:after="0" w:afterAutospacing="0" w:line="600" w:lineRule="exact"/>
        <w:jc w:val="both"/>
        <w:outlineLvl w:val="1"/>
        <w:rPr>
          <w:rFonts w:ascii="Times New Roman" w:hAnsi="Times New Roman" w:eastAsia="仿宋_GB2312" w:cs="仿宋_GB2312"/>
          <w:color w:val="333333"/>
          <w:sz w:val="32"/>
          <w:szCs w:val="32"/>
          <w:highlight w:val="none"/>
        </w:rPr>
      </w:pPr>
    </w:p>
    <w:p>
      <w:pPr>
        <w:pStyle w:val="4"/>
        <w:widowControl/>
        <w:numPr>
          <w:ilvl w:val="0"/>
          <w:numId w:val="6"/>
        </w:numPr>
        <w:spacing w:before="0" w:beforeAutospacing="0" w:after="0" w:afterAutospacing="0" w:line="600" w:lineRule="exact"/>
        <w:ind w:firstLine="640" w:firstLineChars="200"/>
        <w:jc w:val="both"/>
        <w:outlineLvl w:val="1"/>
        <w:rPr>
          <w:rFonts w:ascii="Times New Roman" w:hAnsi="Times New Roman" w:eastAsia="仿宋_GB2312" w:cs="仿宋_GB2312"/>
          <w:color w:val="333333"/>
          <w:sz w:val="32"/>
          <w:szCs w:val="32"/>
          <w:highlight w:val="none"/>
        </w:rPr>
      </w:pPr>
      <w:r>
        <w:rPr>
          <w:rFonts w:ascii="Times New Roman" w:hAnsi="Times New Roman" w:eastAsia="仿宋_GB2312" w:cs="仿宋_GB2312"/>
          <w:color w:val="333333"/>
          <w:sz w:val="32"/>
          <w:szCs w:val="32"/>
          <w:highlight w:val="none"/>
        </w:rPr>
        <w:t>部门整体支出绩效目标表（公开表7）</w:t>
      </w:r>
    </w:p>
    <w:p>
      <w:pPr>
        <w:pStyle w:val="4"/>
        <w:widowControl/>
        <w:numPr>
          <w:ilvl w:val="0"/>
          <w:numId w:val="0"/>
        </w:numPr>
        <w:spacing w:before="0" w:beforeAutospacing="0" w:after="0" w:afterAutospacing="0" w:line="600" w:lineRule="exact"/>
        <w:ind w:leftChars="200" w:firstLine="0" w:firstLineChars="0"/>
        <w:jc w:val="both"/>
        <w:outlineLvl w:val="1"/>
        <w:rPr>
          <w:rFonts w:ascii="Times New Roman" w:hAnsi="Times New Roman" w:eastAsia="仿宋_GB2312" w:cs="仿宋_GB2312"/>
          <w:color w:val="333333"/>
          <w:sz w:val="32"/>
          <w:szCs w:val="32"/>
          <w:highlight w:val="none"/>
        </w:rPr>
      </w:pPr>
    </w:p>
    <w:tbl>
      <w:tblPr>
        <w:tblStyle w:val="5"/>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3"/>
        <w:gridCol w:w="1100"/>
        <w:gridCol w:w="1067"/>
        <w:gridCol w:w="2426"/>
        <w:gridCol w:w="1524"/>
        <w:gridCol w:w="1538"/>
        <w:gridCol w:w="1495"/>
        <w:gridCol w:w="1496"/>
        <w:gridCol w:w="1495"/>
        <w:gridCol w:w="1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440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0"/>
                <w:szCs w:val="30"/>
                <w:highlight w:val="none"/>
                <w:u w:val="none"/>
              </w:rPr>
            </w:pPr>
            <w:r>
              <w:rPr>
                <w:rFonts w:hint="eastAsia" w:ascii="黑体" w:hAnsi="宋体" w:eastAsia="黑体" w:cs="黑体"/>
                <w:i w:val="0"/>
                <w:iCs w:val="0"/>
                <w:color w:val="000000"/>
                <w:kern w:val="0"/>
                <w:sz w:val="30"/>
                <w:szCs w:val="30"/>
                <w:highlight w:val="none"/>
                <w:u w:val="none"/>
                <w:lang w:val="en-US" w:eastAsia="zh-CN" w:bidi="ar"/>
              </w:rPr>
              <w:t>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440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4400" w:type="dxa"/>
            <w:gridSpan w:val="10"/>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2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部门名称</w:t>
            </w:r>
          </w:p>
        </w:tc>
        <w:tc>
          <w:tcPr>
            <w:tcW w:w="116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乐山市文化和旅游数据中心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年度主要任务</w:t>
            </w:r>
          </w:p>
        </w:tc>
        <w:tc>
          <w:tcPr>
            <w:tcW w:w="2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任务名称</w:t>
            </w:r>
          </w:p>
        </w:tc>
        <w:tc>
          <w:tcPr>
            <w:tcW w:w="116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保障各类业务工作的开展</w:t>
            </w:r>
          </w:p>
        </w:tc>
        <w:tc>
          <w:tcPr>
            <w:tcW w:w="116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保障单位日常运转，做好文旅统计，提升智慧文旅应用，提高预算编制质量，严格执行预算。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611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年度部门整体支出预算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资金总额</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财政拨款</w:t>
            </w: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611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14.60</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14.60</w:t>
            </w: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年度总体目标</w:t>
            </w:r>
          </w:p>
        </w:tc>
        <w:tc>
          <w:tcPr>
            <w:tcW w:w="138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保障单位日常运转，做好文旅统计，提升智慧文旅应用，提高预算编制质量，严格执行预算。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年度绩效指标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3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绩效指标性质</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绩效指标值</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绩效度量单位</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3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科目调整次数</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次</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3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预算编制准确率（计算方法为：∣（执行数-预算数）/预算数∣）</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经济效益指标</w:t>
            </w:r>
          </w:p>
        </w:tc>
        <w:tc>
          <w:tcPr>
            <w:tcW w:w="3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“三公经费”控制率[计算方法为：（三公经费实际支出数/预算安排数]×100%）</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3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经济效益指标</w:t>
            </w:r>
          </w:p>
        </w:tc>
        <w:tc>
          <w:tcPr>
            <w:tcW w:w="3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运转保障率</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22.5</w:t>
            </w:r>
          </w:p>
        </w:tc>
      </w:tr>
    </w:tbl>
    <w:p>
      <w:pPr>
        <w:pStyle w:val="4"/>
        <w:widowControl/>
        <w:spacing w:before="0" w:beforeAutospacing="0" w:after="0" w:afterAutospacing="0"/>
        <w:jc w:val="both"/>
        <w:rPr>
          <w:rFonts w:ascii="Times New Roman" w:hAnsi="Times New Roman" w:eastAsia="仿宋_GB2312" w:cs="仿宋_GB2312"/>
          <w:color w:val="333333"/>
          <w:sz w:val="32"/>
          <w:szCs w:val="32"/>
          <w:highlight w:val="none"/>
        </w:rPr>
        <w:sectPr>
          <w:footerReference r:id="rId7" w:type="default"/>
          <w:pgSz w:w="16838" w:h="11906" w:orient="landscape"/>
          <w:pgMar w:top="1800" w:right="1440" w:bottom="1800" w:left="1440" w:header="720" w:footer="720" w:gutter="0"/>
          <w:pgNumType w:fmt="numberInDash" w:start="2"/>
          <w:cols w:space="720" w:num="1"/>
          <w:docGrid w:type="lines" w:linePitch="312" w:charSpace="0"/>
        </w:sectPr>
      </w:pPr>
    </w:p>
    <w:p>
      <w:pPr>
        <w:pStyle w:val="4"/>
        <w:widowControl/>
        <w:spacing w:before="0" w:beforeAutospacing="0" w:after="0" w:afterAutospacing="0"/>
        <w:ind w:firstLine="640" w:firstLineChars="200"/>
        <w:jc w:val="both"/>
        <w:rPr>
          <w:rFonts w:hint="eastAsia" w:ascii="Times New Roman" w:hAnsi="Times New Roman" w:eastAsia="仿宋_GB2312" w:cs="仿宋_GB2312"/>
          <w:color w:val="333333"/>
          <w:sz w:val="32"/>
          <w:szCs w:val="32"/>
          <w:highlight w:val="none"/>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jc w:val="center"/>
        <w:rPr>
          <w:rFonts w:hint="eastAsia" w:ascii="Times New Roman" w:hAnsi="Times New Roman" w:eastAsia="方正小标宋简体" w:cs="方正小标宋简体"/>
          <w:sz w:val="52"/>
          <w:szCs w:val="52"/>
          <w:highlight w:val="none"/>
          <w:lang w:bidi="ar"/>
        </w:rPr>
      </w:pPr>
    </w:p>
    <w:p>
      <w:pPr>
        <w:pStyle w:val="4"/>
        <w:widowControl/>
        <w:spacing w:before="0" w:beforeAutospacing="0" w:after="0" w:afterAutospacing="0" w:line="600" w:lineRule="exact"/>
        <w:jc w:val="center"/>
        <w:outlineLvl w:val="0"/>
        <w:rPr>
          <w:rFonts w:hint="eastAsia" w:ascii="Times New Roman" w:hAnsi="Times New Roman" w:eastAsia="方正小标宋简体" w:cs="方正小标宋简体"/>
          <w:sz w:val="52"/>
          <w:szCs w:val="52"/>
          <w:highlight w:val="none"/>
          <w:lang w:bidi="ar"/>
        </w:rPr>
      </w:pPr>
      <w:r>
        <w:rPr>
          <w:rFonts w:hint="eastAsia" w:ascii="Times New Roman" w:hAnsi="Times New Roman" w:eastAsia="方正小标宋简体" w:cs="方正小标宋简体"/>
          <w:sz w:val="52"/>
          <w:szCs w:val="52"/>
          <w:highlight w:val="none"/>
          <w:lang w:bidi="ar"/>
        </w:rPr>
        <w:t xml:space="preserve">第三部分  </w:t>
      </w:r>
      <w:r>
        <w:rPr>
          <w:rFonts w:hint="eastAsia" w:ascii="Times New Roman" w:hAnsi="Times New Roman" w:eastAsia="方正小标宋简体" w:cs="方正小标宋简体"/>
          <w:sz w:val="52"/>
          <w:szCs w:val="52"/>
          <w:highlight w:val="none"/>
          <w:lang w:val="en-US" w:eastAsia="zh-CN" w:bidi="ar"/>
        </w:rPr>
        <w:t>乐山市文化和旅游数据中心</w:t>
      </w:r>
    </w:p>
    <w:p>
      <w:pPr>
        <w:pStyle w:val="4"/>
        <w:widowControl/>
        <w:spacing w:before="0" w:beforeAutospacing="0" w:after="0" w:afterAutospacing="0" w:line="600" w:lineRule="exact"/>
        <w:jc w:val="center"/>
        <w:outlineLvl w:val="1"/>
        <w:rPr>
          <w:rFonts w:hint="eastAsia" w:ascii="Times New Roman" w:hAnsi="Times New Roman" w:eastAsia="方正小标宋简体" w:cs="方正小标宋简体"/>
          <w:sz w:val="52"/>
          <w:szCs w:val="52"/>
          <w:highlight w:val="none"/>
          <w:lang w:bidi="ar"/>
        </w:rPr>
      </w:pPr>
      <w:r>
        <w:rPr>
          <w:rFonts w:hint="eastAsia" w:ascii="Times New Roman" w:hAnsi="Times New Roman" w:eastAsia="方正小标宋简体" w:cs="方正小标宋简体"/>
          <w:sz w:val="52"/>
          <w:szCs w:val="52"/>
          <w:highlight w:val="none"/>
          <w:lang w:bidi="ar"/>
        </w:rPr>
        <w:t>2022年部门预算情况说明</w:t>
      </w:r>
    </w:p>
    <w:p>
      <w:pPr>
        <w:pStyle w:val="4"/>
        <w:widowControl/>
        <w:spacing w:before="0" w:beforeAutospacing="0" w:after="0" w:afterAutospacing="0" w:line="600" w:lineRule="exact"/>
        <w:ind w:firstLine="640" w:firstLineChars="200"/>
        <w:jc w:val="both"/>
        <w:rPr>
          <w:rFonts w:hint="eastAsia" w:ascii="Times New Roman" w:hAnsi="Times New Roman" w:eastAsia="黑体"/>
          <w:sz w:val="32"/>
          <w:szCs w:val="32"/>
          <w:highlight w:val="none"/>
        </w:rPr>
        <w:sectPr>
          <w:footerReference r:id="rId8" w:type="default"/>
          <w:pgSz w:w="11906" w:h="16838"/>
          <w:pgMar w:top="1440" w:right="1800" w:bottom="1440" w:left="1800" w:header="720" w:footer="720" w:gutter="0"/>
          <w:pgNumType w:fmt="numberInDash"/>
          <w:cols w:space="720" w:num="1"/>
          <w:docGrid w:type="lines" w:linePitch="312" w:charSpace="0"/>
        </w:sectPr>
      </w:pPr>
    </w:p>
    <w:p>
      <w:pPr>
        <w:pStyle w:val="4"/>
        <w:widowControl/>
        <w:spacing w:before="0" w:beforeAutospacing="0" w:after="0" w:afterAutospacing="0" w:line="600" w:lineRule="exact"/>
        <w:ind w:firstLine="640" w:firstLineChars="200"/>
        <w:jc w:val="both"/>
        <w:outlineLvl w:val="1"/>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一、收支预算情况说明</w:t>
      </w:r>
    </w:p>
    <w:p>
      <w:p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按照综合预算的原则，</w:t>
      </w: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所有收入和支出均纳入部门预算管理。收入包括：一般公共预算拨款收入、政府性基金预算拨款收入、国有资本经营预算拨款收入、事业收入、事业单位经营收入</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其他收入；支出包括：文化旅游体育与传媒支出、社会保障和就业支出</w:t>
      </w:r>
      <w:r>
        <w:rPr>
          <w:rFonts w:hint="eastAsia" w:ascii="Times New Roman" w:hAnsi="Times New Roman" w:eastAsia="仿宋_GB2312"/>
          <w:sz w:val="32"/>
          <w:szCs w:val="32"/>
          <w:highlight w:val="none"/>
          <w:lang w:eastAsia="zh-CN"/>
        </w:rPr>
        <w:t>、卫生健康支出、城乡社区支出、住房保障支出、债务付息支出。</w:t>
      </w: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2022年收支预算总数</w:t>
      </w:r>
      <w:r>
        <w:rPr>
          <w:rFonts w:hint="eastAsia" w:ascii="仿宋_GB2312" w:hAnsi="仿宋_GB2312" w:eastAsia="仿宋_GB2312" w:cs="仿宋_GB2312"/>
          <w:sz w:val="32"/>
          <w:szCs w:val="32"/>
          <w:highlight w:val="none"/>
        </w:rPr>
        <w:t>59.86</w:t>
      </w:r>
      <w:r>
        <w:rPr>
          <w:rFonts w:hint="eastAsia" w:ascii="Times New Roman" w:hAnsi="Times New Roman" w:eastAsia="仿宋_GB2312"/>
          <w:sz w:val="32"/>
          <w:szCs w:val="32"/>
          <w:highlight w:val="none"/>
        </w:rPr>
        <w:t>万元,比2021年收支预算总数</w:t>
      </w:r>
      <w:r>
        <w:rPr>
          <w:rFonts w:hint="eastAsia" w:ascii="Times New Roman" w:hAnsi="Times New Roman" w:eastAsia="仿宋_GB2312"/>
          <w:sz w:val="32"/>
          <w:szCs w:val="32"/>
          <w:highlight w:val="none"/>
          <w:u w:val="none"/>
          <w:lang w:eastAsia="zh-CN"/>
        </w:rPr>
        <w:t>增加</w:t>
      </w:r>
      <w:r>
        <w:rPr>
          <w:rFonts w:hint="eastAsia" w:ascii="Times New Roman" w:hAnsi="Times New Roman" w:eastAsia="仿宋_GB2312"/>
          <w:sz w:val="32"/>
          <w:szCs w:val="32"/>
          <w:highlight w:val="none"/>
          <w:u w:val="none"/>
        </w:rPr>
        <w:t>10.4</w:t>
      </w:r>
      <w:r>
        <w:rPr>
          <w:rFonts w:hint="eastAsia" w:ascii="Times New Roman" w:hAnsi="Times New Roman" w:eastAsia="仿宋_GB2312"/>
          <w:sz w:val="32"/>
          <w:szCs w:val="32"/>
          <w:highlight w:val="none"/>
        </w:rPr>
        <w:t>万元，主要原因是文化旅游体育与传媒支出</w:t>
      </w:r>
      <w:r>
        <w:rPr>
          <w:rFonts w:hint="eastAsia" w:ascii="Times New Roman" w:hAnsi="Times New Roman" w:eastAsia="仿宋_GB2312"/>
          <w:sz w:val="32"/>
          <w:szCs w:val="32"/>
          <w:highlight w:val="none"/>
          <w:lang w:eastAsia="zh-CN"/>
        </w:rPr>
        <w:t>增加，资金需求增加</w:t>
      </w:r>
      <w:r>
        <w:rPr>
          <w:rFonts w:hint="eastAsia" w:ascii="Times New Roman" w:hAnsi="Times New Roman" w:eastAsia="仿宋_GB2312"/>
          <w:sz w:val="32"/>
          <w:szCs w:val="32"/>
          <w:highlight w:val="none"/>
        </w:rPr>
        <w:t>。</w:t>
      </w: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（一）收入预算情况</w:t>
      </w:r>
    </w:p>
    <w:p>
      <w:pPr>
        <w:spacing w:line="580" w:lineRule="exact"/>
        <w:ind w:firstLine="640" w:firstLineChars="200"/>
        <w:rPr>
          <w:rFonts w:hint="eastAsia"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2022年收入预算</w:t>
      </w:r>
      <w:r>
        <w:rPr>
          <w:rFonts w:hint="eastAsia" w:ascii="仿宋_GB2312" w:hAnsi="仿宋_GB2312" w:eastAsia="仿宋_GB2312" w:cs="仿宋_GB2312"/>
          <w:sz w:val="32"/>
          <w:szCs w:val="32"/>
          <w:highlight w:val="none"/>
          <w:lang w:eastAsia="zh-CN"/>
        </w:rPr>
        <w:t>收入59.86</w:t>
      </w:r>
      <w:r>
        <w:rPr>
          <w:rFonts w:hint="eastAsia" w:ascii="Times New Roman" w:hAnsi="Times New Roman" w:eastAsia="仿宋_GB2312"/>
          <w:sz w:val="32"/>
          <w:szCs w:val="32"/>
          <w:highlight w:val="none"/>
        </w:rPr>
        <w:t>万元，其中：上年结转</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%；一般公共预算拨款收入59.86万元，占</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%；政府性基金预算拨款收入</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%；事业收入</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w:t>
      </w:r>
      <w:r>
        <w:rPr>
          <w:rFonts w:hint="eastAsia" w:ascii="仿宋_GB2312" w:hAnsi="仿宋_GB2312" w:eastAsia="仿宋_GB2312" w:cs="仿宋_GB2312"/>
          <w:sz w:val="32"/>
          <w:szCs w:val="32"/>
          <w:highlight w:val="none"/>
        </w:rPr>
        <w:t>事业单位经营收入0万元，</w:t>
      </w:r>
      <w:r>
        <w:rPr>
          <w:rFonts w:hint="eastAsia" w:ascii="Times New Roman" w:hAnsi="Times New Roman" w:eastAsia="仿宋_GB2312"/>
          <w:sz w:val="32"/>
          <w:szCs w:val="32"/>
          <w:highlight w:val="none"/>
        </w:rPr>
        <w:t>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w:t>
      </w:r>
      <w:r>
        <w:rPr>
          <w:rFonts w:hint="eastAsia" w:ascii="仿宋_GB2312" w:hAnsi="仿宋_GB2312" w:eastAsia="仿宋_GB2312" w:cs="仿宋_GB2312"/>
          <w:sz w:val="32"/>
          <w:szCs w:val="32"/>
          <w:highlight w:val="none"/>
        </w:rPr>
        <w:t>其他收入0万元，</w:t>
      </w:r>
      <w:r>
        <w:rPr>
          <w:rFonts w:hint="eastAsia" w:ascii="Times New Roman" w:hAnsi="Times New Roman" w:eastAsia="仿宋_GB2312"/>
          <w:sz w:val="32"/>
          <w:szCs w:val="32"/>
          <w:highlight w:val="none"/>
        </w:rPr>
        <w:t>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w:t>
      </w: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（二）支出预算情况</w:t>
      </w:r>
    </w:p>
    <w:p>
      <w:pPr>
        <w:spacing w:line="580" w:lineRule="exact"/>
        <w:ind w:firstLine="640" w:firstLineChars="200"/>
        <w:rPr>
          <w:rFonts w:hint="eastAsia" w:ascii="Times New Roman" w:hAnsi="Times New Roman" w:eastAsia="仿宋_GB2312"/>
          <w:sz w:val="32"/>
          <w:szCs w:val="32"/>
          <w:highlight w:val="none"/>
          <w:u w:val="singl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2022年支出预算</w:t>
      </w:r>
      <w:r>
        <w:rPr>
          <w:rFonts w:hint="eastAsia" w:ascii="仿宋_GB2312" w:hAnsi="仿宋_GB2312" w:eastAsia="仿宋_GB2312" w:cs="仿宋_GB2312"/>
          <w:sz w:val="32"/>
          <w:szCs w:val="32"/>
          <w:highlight w:val="none"/>
          <w:lang w:eastAsia="zh-CN"/>
        </w:rPr>
        <w:t>59.86</w:t>
      </w:r>
      <w:r>
        <w:rPr>
          <w:rFonts w:hint="eastAsia" w:ascii="Times New Roman" w:hAnsi="Times New Roman" w:eastAsia="仿宋_GB2312"/>
          <w:sz w:val="32"/>
          <w:szCs w:val="32"/>
          <w:highlight w:val="none"/>
        </w:rPr>
        <w:t>万元，其中：基本支出59.86万元，占</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%；项目支出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u w:val="none"/>
        </w:rPr>
        <w:t>。</w:t>
      </w:r>
    </w:p>
    <w:p>
      <w:pPr>
        <w:spacing w:line="580" w:lineRule="exact"/>
        <w:ind w:firstLine="640" w:firstLineChars="200"/>
        <w:outlineLvl w:val="1"/>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二、财政拨款收支预算情况说明</w:t>
      </w:r>
    </w:p>
    <w:p>
      <w:pPr>
        <w:spacing w:line="580" w:lineRule="exact"/>
        <w:ind w:firstLine="640" w:firstLineChars="200"/>
        <w:rPr>
          <w:rFonts w:hint="eastAsia"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2022年财政拨款收支预算总数</w:t>
      </w:r>
      <w:r>
        <w:rPr>
          <w:rFonts w:hint="eastAsia" w:ascii="仿宋_GB2312" w:hAnsi="仿宋_GB2312" w:eastAsia="仿宋_GB2312" w:cs="仿宋_GB2312"/>
          <w:sz w:val="32"/>
          <w:szCs w:val="32"/>
          <w:highlight w:val="none"/>
        </w:rPr>
        <w:t>59.86</w:t>
      </w:r>
      <w:r>
        <w:rPr>
          <w:rFonts w:hint="eastAsia" w:ascii="Times New Roman" w:hAnsi="Times New Roman" w:eastAsia="仿宋_GB2312"/>
          <w:sz w:val="32"/>
          <w:szCs w:val="32"/>
          <w:highlight w:val="none"/>
        </w:rPr>
        <w:t>万元,比2021年财政拨款收支预算总数</w:t>
      </w:r>
      <w:r>
        <w:rPr>
          <w:rFonts w:hint="eastAsia" w:ascii="Times New Roman" w:hAnsi="Times New Roman" w:eastAsia="仿宋_GB2312"/>
          <w:sz w:val="32"/>
          <w:szCs w:val="32"/>
          <w:highlight w:val="none"/>
          <w:u w:val="none"/>
          <w:lang w:eastAsia="zh-CN"/>
        </w:rPr>
        <w:t>增加</w:t>
      </w:r>
      <w:r>
        <w:rPr>
          <w:rFonts w:hint="eastAsia" w:ascii="Times New Roman" w:hAnsi="Times New Roman" w:eastAsia="仿宋_GB2312"/>
          <w:sz w:val="32"/>
          <w:szCs w:val="32"/>
          <w:highlight w:val="none"/>
          <w:u w:val="none"/>
        </w:rPr>
        <w:t>10.4</w:t>
      </w:r>
      <w:r>
        <w:rPr>
          <w:rFonts w:hint="eastAsia" w:ascii="Times New Roman" w:hAnsi="Times New Roman" w:eastAsia="仿宋_GB2312"/>
          <w:sz w:val="32"/>
          <w:szCs w:val="32"/>
          <w:highlight w:val="none"/>
        </w:rPr>
        <w:t>万元，主要原因是文化旅游体育与传媒支出</w:t>
      </w:r>
      <w:r>
        <w:rPr>
          <w:rFonts w:hint="eastAsia" w:ascii="Times New Roman" w:hAnsi="Times New Roman" w:eastAsia="仿宋_GB2312"/>
          <w:sz w:val="32"/>
          <w:szCs w:val="32"/>
          <w:highlight w:val="none"/>
          <w:lang w:eastAsia="zh-CN"/>
        </w:rPr>
        <w:t>增加，资金需求增加</w:t>
      </w:r>
      <w:r>
        <w:rPr>
          <w:rFonts w:hint="eastAsia" w:ascii="Times New Roman" w:hAnsi="Times New Roman" w:eastAsia="仿宋_GB2312"/>
          <w:sz w:val="32"/>
          <w:szCs w:val="32"/>
          <w:highlight w:val="none"/>
        </w:rPr>
        <w:t>。</w:t>
      </w:r>
    </w:p>
    <w:p>
      <w:pPr>
        <w:spacing w:line="580" w:lineRule="exact"/>
        <w:ind w:firstLine="640" w:firstLineChars="200"/>
        <w:rPr>
          <w:rFonts w:hint="eastAsia" w:ascii="Times New Roman" w:hAnsi="Times New Roman" w:eastAsia="仿宋_GB2312"/>
          <w:sz w:val="32"/>
          <w:szCs w:val="32"/>
          <w:highlight w:val="none"/>
          <w:u w:val="single"/>
        </w:rPr>
      </w:pPr>
      <w:r>
        <w:rPr>
          <w:rFonts w:hint="eastAsia" w:ascii="Times New Roman" w:hAnsi="Times New Roman" w:eastAsia="仿宋_GB2312"/>
          <w:sz w:val="32"/>
          <w:szCs w:val="32"/>
          <w:highlight w:val="none"/>
        </w:rPr>
        <w:t>收入包括：本年一般公共预算拨款收入59.86万元、本年政府性基金预算拨款收入</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w:t>
      </w:r>
      <w:r>
        <w:rPr>
          <w:rFonts w:hint="eastAsia" w:ascii="Times New Roman" w:hAnsi="Times New Roman" w:eastAsia="仿宋_GB2312"/>
          <w:sz w:val="32"/>
          <w:szCs w:val="32"/>
          <w:highlight w:val="none"/>
          <w:lang w:eastAsia="zh-CN"/>
        </w:rPr>
        <w:t>、</w:t>
      </w:r>
      <w:r>
        <w:rPr>
          <w:rFonts w:hint="eastAsia" w:ascii="仿宋_GB2312" w:hAnsi="仿宋_GB2312" w:eastAsia="仿宋_GB2312" w:cs="仿宋_GB2312"/>
          <w:sz w:val="32"/>
          <w:szCs w:val="32"/>
          <w:highlight w:val="none"/>
        </w:rPr>
        <w:t>事业收入0万元，事业单位经营收入0万元，其他收入0万元，上年结转收入0万元</w:t>
      </w:r>
      <w:r>
        <w:rPr>
          <w:rFonts w:hint="eastAsia" w:ascii="Times New Roman" w:hAnsi="Times New Roman" w:eastAsia="仿宋_GB2312"/>
          <w:sz w:val="32"/>
          <w:szCs w:val="32"/>
          <w:highlight w:val="none"/>
        </w:rPr>
        <w:t>；支出包括：</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般公共服务支出0万元，占0％；外交支出0万元，占0％；国防支出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万元，占0％；公共安全支出0万元，占0％；教育支出0万元，占0％；科学技术支出0万元，占0％；文化</w:t>
      </w:r>
      <w:r>
        <w:rPr>
          <w:rFonts w:hint="eastAsia" w:ascii="仿宋_GB2312" w:hAnsi="仿宋_GB2312" w:eastAsia="仿宋_GB2312" w:cs="仿宋_GB2312"/>
          <w:sz w:val="32"/>
          <w:szCs w:val="32"/>
          <w:highlight w:val="none"/>
          <w:lang w:val="en-US" w:eastAsia="zh-CN"/>
        </w:rPr>
        <w:t>旅游</w:t>
      </w:r>
      <w:r>
        <w:rPr>
          <w:rFonts w:hint="eastAsia" w:ascii="仿宋_GB2312" w:hAnsi="仿宋_GB2312" w:eastAsia="仿宋_GB2312" w:cs="仿宋_GB2312"/>
          <w:sz w:val="32"/>
          <w:szCs w:val="32"/>
          <w:highlight w:val="none"/>
        </w:rPr>
        <w:t>体育与传媒支出45.23万元，占</w:t>
      </w:r>
      <w:r>
        <w:rPr>
          <w:rFonts w:hint="eastAsia" w:ascii="仿宋_GB2312" w:hAnsi="仿宋_GB2312" w:eastAsia="仿宋_GB2312" w:cs="仿宋_GB2312"/>
          <w:sz w:val="32"/>
          <w:szCs w:val="32"/>
          <w:highlight w:val="none"/>
          <w:lang w:val="en-US" w:eastAsia="zh-CN"/>
        </w:rPr>
        <w:t>75.56</w:t>
      </w:r>
      <w:r>
        <w:rPr>
          <w:rFonts w:hint="eastAsia" w:ascii="仿宋_GB2312" w:hAnsi="仿宋_GB2312" w:eastAsia="仿宋_GB2312" w:cs="仿宋_GB2312"/>
          <w:sz w:val="32"/>
          <w:szCs w:val="32"/>
          <w:highlight w:val="none"/>
        </w:rPr>
        <w:t>％；社会保障和就业支出</w:t>
      </w:r>
      <w:r>
        <w:rPr>
          <w:rFonts w:hint="eastAsia" w:ascii="仿宋_GB2312" w:hAnsi="仿宋_GB2312" w:eastAsia="仿宋_GB2312" w:cs="仿宋_GB2312"/>
          <w:sz w:val="32"/>
          <w:szCs w:val="32"/>
          <w:highlight w:val="none"/>
          <w:lang w:val="en-US" w:eastAsia="zh-CN"/>
        </w:rPr>
        <w:t>8.11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13.55</w:t>
      </w:r>
      <w:r>
        <w:rPr>
          <w:rFonts w:hint="eastAsia" w:ascii="仿宋_GB2312" w:hAnsi="仿宋_GB2312" w:eastAsia="仿宋_GB2312" w:cs="仿宋_GB2312"/>
          <w:sz w:val="32"/>
          <w:szCs w:val="32"/>
          <w:highlight w:val="none"/>
        </w:rPr>
        <w:t>％；社会保险基金支出0万元，占0％；卫生健康支出1.87万元，占</w:t>
      </w:r>
      <w:r>
        <w:rPr>
          <w:rFonts w:hint="eastAsia" w:ascii="仿宋_GB2312" w:hAnsi="仿宋_GB2312" w:eastAsia="仿宋_GB2312" w:cs="仿宋_GB2312"/>
          <w:sz w:val="32"/>
          <w:szCs w:val="32"/>
          <w:highlight w:val="none"/>
          <w:lang w:val="en-US" w:eastAsia="zh-CN"/>
        </w:rPr>
        <w:t>3.12</w:t>
      </w:r>
      <w:r>
        <w:rPr>
          <w:rFonts w:hint="eastAsia" w:ascii="仿宋_GB2312" w:hAnsi="仿宋_GB2312" w:eastAsia="仿宋_GB2312" w:cs="仿宋_GB2312"/>
          <w:sz w:val="32"/>
          <w:szCs w:val="32"/>
          <w:highlight w:val="none"/>
        </w:rPr>
        <w:t>％；节能环保支出0万元，占0％；城乡社区支出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％；农林水支出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％；交通运输支出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％；资源勘探信息等支出0万元，占0％；商业服务业等支出0万元，占0％；金融支出0万元，占0％；援助其他地区支出0万元，占0％；自然资源海洋气象等支出0万元，占0％；住房保障支出</w:t>
      </w:r>
      <w:r>
        <w:rPr>
          <w:rFonts w:hint="eastAsia" w:ascii="仿宋_GB2312" w:hAnsi="仿宋_GB2312" w:eastAsia="仿宋_GB2312" w:cs="仿宋_GB2312"/>
          <w:b w:val="0"/>
          <w:bCs w:val="0"/>
          <w:sz w:val="32"/>
          <w:szCs w:val="32"/>
          <w:highlight w:val="none"/>
          <w:lang w:val="en-US" w:eastAsia="zh-CN"/>
        </w:rPr>
        <w:t>4.65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7.77</w:t>
      </w:r>
      <w:r>
        <w:rPr>
          <w:rFonts w:hint="eastAsia" w:ascii="仿宋_GB2312" w:hAnsi="仿宋_GB2312" w:eastAsia="仿宋_GB2312" w:cs="仿宋_GB2312"/>
          <w:sz w:val="32"/>
          <w:szCs w:val="32"/>
          <w:highlight w:val="none"/>
        </w:rPr>
        <w:t>％；粮油物资储备支出0万元，占0％；国有资本经营预算支出0万元，占0％；灾害防治及应急管理支出0万元，占0％；其他支出0万元，占0％；债务付息支出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％；债务发行费支出0万元，占0％</w:t>
      </w:r>
      <w:r>
        <w:rPr>
          <w:rFonts w:hint="eastAsia" w:ascii="仿宋_GB2312" w:hAnsi="仿宋_GB2312" w:eastAsia="仿宋_GB2312" w:cs="仿宋_GB2312"/>
          <w:sz w:val="32"/>
          <w:szCs w:val="32"/>
          <w:highlight w:val="none"/>
          <w:lang w:eastAsia="zh-CN"/>
        </w:rPr>
        <w:t>；抗疫特别国债安排的支出</w:t>
      </w:r>
      <w:r>
        <w:rPr>
          <w:rFonts w:hint="eastAsia" w:ascii="仿宋_GB2312" w:hAnsi="仿宋_GB2312" w:eastAsia="仿宋_GB2312" w:cs="仿宋_GB2312"/>
          <w:sz w:val="32"/>
          <w:szCs w:val="32"/>
          <w:highlight w:val="none"/>
        </w:rPr>
        <w:t>0万元，占0％。</w:t>
      </w:r>
    </w:p>
    <w:p>
      <w:pPr>
        <w:spacing w:line="580" w:lineRule="exact"/>
        <w:ind w:firstLine="640" w:firstLineChars="200"/>
        <w:outlineLvl w:val="1"/>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三、一般公共预算当年拨款情况说明</w:t>
      </w: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（一）一般公共预算当年拨款规模变化情况</w:t>
      </w:r>
    </w:p>
    <w:p>
      <w:pPr>
        <w:spacing w:line="580" w:lineRule="exact"/>
        <w:ind w:firstLine="640" w:firstLineChars="200"/>
        <w:rPr>
          <w:rFonts w:hint="eastAsia"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2022年一般公共预算当年拨款</w:t>
      </w:r>
      <w:r>
        <w:rPr>
          <w:rFonts w:hint="eastAsia" w:ascii="仿宋_GB2312" w:hAnsi="仿宋_GB2312" w:eastAsia="仿宋_GB2312" w:cs="仿宋_GB2312"/>
          <w:sz w:val="32"/>
          <w:szCs w:val="32"/>
          <w:highlight w:val="none"/>
        </w:rPr>
        <w:t>59.86</w:t>
      </w:r>
      <w:r>
        <w:rPr>
          <w:rFonts w:hint="eastAsia" w:ascii="Times New Roman" w:hAnsi="Times New Roman" w:eastAsia="仿宋_GB2312"/>
          <w:sz w:val="32"/>
          <w:szCs w:val="32"/>
          <w:highlight w:val="none"/>
        </w:rPr>
        <w:t>万元，比2021年预算数</w:t>
      </w:r>
      <w:r>
        <w:rPr>
          <w:rFonts w:hint="eastAsia" w:ascii="仿宋_GB2312" w:hAnsi="仿宋_GB2312" w:eastAsia="仿宋_GB2312" w:cs="仿宋_GB2312"/>
          <w:sz w:val="32"/>
          <w:szCs w:val="32"/>
          <w:highlight w:val="none"/>
          <w:lang w:val="en-US" w:eastAsia="zh-CN"/>
        </w:rPr>
        <w:t>增加</w:t>
      </w:r>
      <w:r>
        <w:rPr>
          <w:rFonts w:hint="eastAsia" w:ascii="Times New Roman" w:hAnsi="Times New Roman" w:eastAsia="仿宋_GB2312"/>
          <w:sz w:val="32"/>
          <w:szCs w:val="32"/>
          <w:highlight w:val="none"/>
          <w:u w:val="none"/>
        </w:rPr>
        <w:t>10.4</w:t>
      </w:r>
      <w:r>
        <w:rPr>
          <w:rFonts w:hint="eastAsia" w:ascii="Times New Roman" w:hAnsi="Times New Roman" w:eastAsia="仿宋_GB2312"/>
          <w:sz w:val="32"/>
          <w:szCs w:val="32"/>
          <w:highlight w:val="none"/>
        </w:rPr>
        <w:t>万元，主要原因是文化旅游体育与传媒支出</w:t>
      </w:r>
      <w:r>
        <w:rPr>
          <w:rFonts w:hint="eastAsia" w:ascii="Times New Roman" w:hAnsi="Times New Roman" w:eastAsia="仿宋_GB2312"/>
          <w:sz w:val="32"/>
          <w:szCs w:val="32"/>
          <w:highlight w:val="none"/>
          <w:lang w:eastAsia="zh-CN"/>
        </w:rPr>
        <w:t>增加，资金需求增加</w:t>
      </w:r>
      <w:r>
        <w:rPr>
          <w:rFonts w:hint="eastAsia" w:ascii="Times New Roman" w:hAnsi="Times New Roman" w:eastAsia="仿宋_GB2312"/>
          <w:sz w:val="32"/>
          <w:szCs w:val="32"/>
          <w:highlight w:val="none"/>
        </w:rPr>
        <w:t>。</w:t>
      </w: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（二）一般公共预算当年拨款结构情况</w:t>
      </w:r>
    </w:p>
    <w:p>
      <w:pPr>
        <w:spacing w:line="580" w:lineRule="exact"/>
        <w:ind w:firstLine="640" w:firstLineChars="200"/>
        <w:outlineLvl w:val="2"/>
        <w:rPr>
          <w:rFonts w:hint="eastAsia" w:ascii="Times New Roman" w:hAnsi="Times New Roman" w:eastAsia="楷体_GB2312"/>
          <w:b/>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般公共服务支出0万元，占0％；外交支出0万元，占0％；国防支出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万元，占0％；公共安全支出0万元，占0％；教育支出0万元，占0％；科学技术支出0万元，占0％；文化</w:t>
      </w:r>
      <w:r>
        <w:rPr>
          <w:rFonts w:hint="eastAsia" w:ascii="仿宋_GB2312" w:hAnsi="仿宋_GB2312" w:eastAsia="仿宋_GB2312" w:cs="仿宋_GB2312"/>
          <w:sz w:val="32"/>
          <w:szCs w:val="32"/>
          <w:highlight w:val="none"/>
          <w:lang w:val="en-US" w:eastAsia="zh-CN"/>
        </w:rPr>
        <w:t>旅游</w:t>
      </w:r>
      <w:r>
        <w:rPr>
          <w:rFonts w:hint="eastAsia" w:ascii="仿宋_GB2312" w:hAnsi="仿宋_GB2312" w:eastAsia="仿宋_GB2312" w:cs="仿宋_GB2312"/>
          <w:sz w:val="32"/>
          <w:szCs w:val="32"/>
          <w:highlight w:val="none"/>
        </w:rPr>
        <w:t>体育与传媒支出45.23万元，占</w:t>
      </w:r>
      <w:r>
        <w:rPr>
          <w:rFonts w:hint="eastAsia" w:ascii="仿宋_GB2312" w:hAnsi="仿宋_GB2312" w:eastAsia="仿宋_GB2312" w:cs="仿宋_GB2312"/>
          <w:sz w:val="32"/>
          <w:szCs w:val="32"/>
          <w:highlight w:val="none"/>
          <w:lang w:val="en-US" w:eastAsia="zh-CN"/>
        </w:rPr>
        <w:t>75.56</w:t>
      </w:r>
      <w:r>
        <w:rPr>
          <w:rFonts w:hint="eastAsia" w:ascii="仿宋_GB2312" w:hAnsi="仿宋_GB2312" w:eastAsia="仿宋_GB2312" w:cs="仿宋_GB2312"/>
          <w:sz w:val="32"/>
          <w:szCs w:val="32"/>
          <w:highlight w:val="none"/>
        </w:rPr>
        <w:t>％；社会保障和就业支出</w:t>
      </w:r>
      <w:r>
        <w:rPr>
          <w:rFonts w:hint="eastAsia" w:ascii="仿宋_GB2312" w:hAnsi="仿宋_GB2312" w:eastAsia="仿宋_GB2312" w:cs="仿宋_GB2312"/>
          <w:sz w:val="32"/>
          <w:szCs w:val="32"/>
          <w:highlight w:val="none"/>
          <w:lang w:val="en-US" w:eastAsia="zh-CN"/>
        </w:rPr>
        <w:t>8.11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13.55</w:t>
      </w:r>
      <w:r>
        <w:rPr>
          <w:rFonts w:hint="eastAsia" w:ascii="仿宋_GB2312" w:hAnsi="仿宋_GB2312" w:eastAsia="仿宋_GB2312" w:cs="仿宋_GB2312"/>
          <w:sz w:val="32"/>
          <w:szCs w:val="32"/>
          <w:highlight w:val="none"/>
        </w:rPr>
        <w:t>％；社会保险基金支出0万元，占0％；卫生健康支出1.87万元，占</w:t>
      </w:r>
      <w:r>
        <w:rPr>
          <w:rFonts w:hint="eastAsia" w:ascii="仿宋_GB2312" w:hAnsi="仿宋_GB2312" w:eastAsia="仿宋_GB2312" w:cs="仿宋_GB2312"/>
          <w:sz w:val="32"/>
          <w:szCs w:val="32"/>
          <w:highlight w:val="none"/>
          <w:lang w:val="en-US" w:eastAsia="zh-CN"/>
        </w:rPr>
        <w:t>3.12</w:t>
      </w:r>
      <w:r>
        <w:rPr>
          <w:rFonts w:hint="eastAsia" w:ascii="仿宋_GB2312" w:hAnsi="仿宋_GB2312" w:eastAsia="仿宋_GB2312" w:cs="仿宋_GB2312"/>
          <w:sz w:val="32"/>
          <w:szCs w:val="32"/>
          <w:highlight w:val="none"/>
        </w:rPr>
        <w:t>％；节能环保支出0万元，占0％；城乡社区支出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％；农林水支出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％；交通运输支出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％；资源勘探信息等支出0万元，占0％；商业服务业等支出0万元，占0％；金融支出0万元，占0％；援助其他地区支出0万元，占0％；自然资源海洋气象等支出0万元，占0％；住房保障支出</w:t>
      </w:r>
      <w:r>
        <w:rPr>
          <w:rFonts w:hint="eastAsia" w:ascii="仿宋_GB2312" w:hAnsi="仿宋_GB2312" w:eastAsia="仿宋_GB2312" w:cs="仿宋_GB2312"/>
          <w:b w:val="0"/>
          <w:bCs w:val="0"/>
          <w:sz w:val="32"/>
          <w:szCs w:val="32"/>
          <w:highlight w:val="none"/>
          <w:lang w:val="en-US" w:eastAsia="zh-CN"/>
        </w:rPr>
        <w:t>4.65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7.77</w:t>
      </w:r>
      <w:r>
        <w:rPr>
          <w:rFonts w:hint="eastAsia" w:ascii="仿宋_GB2312" w:hAnsi="仿宋_GB2312" w:eastAsia="仿宋_GB2312" w:cs="仿宋_GB2312"/>
          <w:sz w:val="32"/>
          <w:szCs w:val="32"/>
          <w:highlight w:val="none"/>
        </w:rPr>
        <w:t>％；粮油物资储备支出0万元，占0％；国有资本经营预算支出0万元，占0％；灾害防治及应急管理支出0万元，占0％；其他支出0万元，占0％；债务付息支出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％；债务发行费支出0万元，占0％</w:t>
      </w:r>
      <w:r>
        <w:rPr>
          <w:rFonts w:hint="eastAsia" w:ascii="仿宋_GB2312" w:hAnsi="仿宋_GB2312" w:eastAsia="仿宋_GB2312" w:cs="仿宋_GB2312"/>
          <w:sz w:val="32"/>
          <w:szCs w:val="32"/>
          <w:highlight w:val="none"/>
          <w:lang w:eastAsia="zh-CN"/>
        </w:rPr>
        <w:t>；抗疫特别国债安排的支出</w:t>
      </w:r>
      <w:r>
        <w:rPr>
          <w:rFonts w:hint="eastAsia" w:ascii="仿宋_GB2312" w:hAnsi="仿宋_GB2312" w:eastAsia="仿宋_GB2312" w:cs="仿宋_GB2312"/>
          <w:sz w:val="32"/>
          <w:szCs w:val="32"/>
          <w:highlight w:val="none"/>
        </w:rPr>
        <w:t>0万元，占0％。</w:t>
      </w: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（三）一般公共预算当年拨款具体使用情况</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文化旅游体育与传媒支出（类）</w:t>
      </w:r>
      <w:r>
        <w:rPr>
          <w:rFonts w:hint="eastAsia" w:ascii="仿宋_GB2312" w:hAnsi="仿宋_GB2312" w:eastAsia="仿宋_GB2312" w:cs="仿宋_GB2312"/>
          <w:sz w:val="32"/>
          <w:szCs w:val="32"/>
          <w:highlight w:val="none"/>
          <w:lang w:val="en-US" w:eastAsia="zh-CN"/>
        </w:rPr>
        <w:t>文化和旅游</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val="en-US" w:eastAsia="zh-CN"/>
        </w:rPr>
        <w:t>其他文化和旅游支出</w:t>
      </w:r>
      <w:r>
        <w:rPr>
          <w:rFonts w:hint="eastAsia" w:ascii="仿宋_GB2312" w:hAnsi="仿宋_GB2312" w:eastAsia="仿宋_GB2312" w:cs="仿宋_GB2312"/>
          <w:sz w:val="32"/>
          <w:szCs w:val="32"/>
          <w:highlight w:val="none"/>
        </w:rPr>
        <w:t>（项）：202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年预算数为45.23万元，主要用于：单位正常运转的基本支出，包括基本工资、津贴补贴等人员经费以及办公费、印刷费、水电费等公用经费。</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社会保障和就业支出（类）</w:t>
      </w:r>
      <w:r>
        <w:rPr>
          <w:rFonts w:hint="eastAsia" w:ascii="仿宋_GB2312" w:hAnsi="仿宋_GB2312" w:eastAsia="仿宋_GB2312" w:cs="仿宋_GB2312"/>
          <w:sz w:val="32"/>
          <w:szCs w:val="32"/>
          <w:highlight w:val="none"/>
          <w:lang w:val="en-US" w:eastAsia="zh-CN"/>
        </w:rPr>
        <w:t>行政事业单位养老支出</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机关事业单位基本养老保险缴费支出</w:t>
      </w:r>
      <w:r>
        <w:rPr>
          <w:rFonts w:hint="eastAsia" w:ascii="仿宋_GB2312" w:hAnsi="仿宋_GB2312" w:eastAsia="仿宋_GB2312" w:cs="仿宋_GB2312"/>
          <w:sz w:val="32"/>
          <w:szCs w:val="32"/>
          <w:highlight w:val="none"/>
        </w:rPr>
        <w:t>（项）：202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4.90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主要用于：单位职工养老保险缴费支出。</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社会保障和就业支出（类）</w:t>
      </w:r>
      <w:r>
        <w:rPr>
          <w:rFonts w:hint="eastAsia" w:ascii="仿宋_GB2312" w:hAnsi="仿宋_GB2312" w:eastAsia="仿宋_GB2312" w:cs="仿宋_GB2312"/>
          <w:sz w:val="32"/>
          <w:szCs w:val="32"/>
          <w:highlight w:val="none"/>
          <w:lang w:val="en-US" w:eastAsia="zh-CN"/>
        </w:rPr>
        <w:t>行政事业单位养老支出</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机关事业单位职业年金缴费支出</w:t>
      </w:r>
      <w:r>
        <w:rPr>
          <w:rFonts w:hint="eastAsia" w:ascii="仿宋_GB2312" w:hAnsi="仿宋_GB2312" w:eastAsia="仿宋_GB2312" w:cs="仿宋_GB2312"/>
          <w:sz w:val="32"/>
          <w:szCs w:val="32"/>
          <w:highlight w:val="none"/>
        </w:rPr>
        <w:t>（项）：202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2.45</w:t>
      </w:r>
      <w:r>
        <w:rPr>
          <w:rFonts w:hint="eastAsia" w:ascii="仿宋_GB2312" w:hAnsi="仿宋_GB2312" w:eastAsia="仿宋_GB2312" w:cs="仿宋_GB2312"/>
          <w:sz w:val="32"/>
          <w:szCs w:val="32"/>
          <w:highlight w:val="none"/>
        </w:rPr>
        <w:t>万元，主要用于：单位职工职业年金缴费支出。</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社会保障和就业支出（类）</w:t>
      </w:r>
      <w:r>
        <w:rPr>
          <w:rFonts w:hint="eastAsia" w:ascii="仿宋_GB2312" w:hAnsi="仿宋_GB2312" w:eastAsia="仿宋_GB2312" w:cs="仿宋_GB2312"/>
          <w:sz w:val="32"/>
          <w:szCs w:val="32"/>
          <w:highlight w:val="none"/>
          <w:lang w:val="en-US" w:eastAsia="zh-CN"/>
        </w:rPr>
        <w:t>其他社会保障和就业支出</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其他社会保障和就业支出</w:t>
      </w:r>
      <w:r>
        <w:rPr>
          <w:rFonts w:hint="eastAsia" w:ascii="仿宋_GB2312" w:hAnsi="仿宋_GB2312" w:eastAsia="仿宋_GB2312" w:cs="仿宋_GB2312"/>
          <w:sz w:val="32"/>
          <w:szCs w:val="32"/>
          <w:highlight w:val="none"/>
        </w:rPr>
        <w:t>（项）：202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0.76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指其他</w:t>
      </w:r>
      <w:r>
        <w:rPr>
          <w:rFonts w:hint="default" w:ascii="仿宋_GB2312" w:hAnsi="仿宋_GB2312" w:eastAsia="仿宋_GB2312" w:cs="仿宋_GB2312"/>
          <w:sz w:val="32"/>
          <w:szCs w:val="32"/>
          <w:highlight w:val="none"/>
        </w:rPr>
        <w:t>用于社会保障和就业方面的支出。</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卫生健康支出（类）</w:t>
      </w:r>
      <w:r>
        <w:rPr>
          <w:rFonts w:hint="eastAsia" w:ascii="仿宋_GB2312" w:hAnsi="仿宋_GB2312" w:eastAsia="仿宋_GB2312" w:cs="仿宋_GB2312"/>
          <w:sz w:val="32"/>
          <w:szCs w:val="32"/>
          <w:highlight w:val="none"/>
          <w:lang w:val="en-US" w:eastAsia="zh-CN"/>
        </w:rPr>
        <w:t>行政事业单位医疗</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事业单位医疗</w:t>
      </w:r>
      <w:r>
        <w:rPr>
          <w:rFonts w:hint="eastAsia" w:ascii="仿宋_GB2312" w:hAnsi="仿宋_GB2312" w:eastAsia="仿宋_GB2312" w:cs="仿宋_GB2312"/>
          <w:sz w:val="32"/>
          <w:szCs w:val="32"/>
          <w:highlight w:val="none"/>
        </w:rPr>
        <w:t>（项）：202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1.87</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单位职工社保缴费支出。</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6. </w:t>
      </w:r>
      <w:r>
        <w:rPr>
          <w:rFonts w:hint="eastAsia" w:ascii="仿宋_GB2312" w:hAnsi="仿宋_GB2312" w:eastAsia="仿宋_GB2312" w:cs="仿宋_GB2312"/>
          <w:sz w:val="32"/>
          <w:szCs w:val="32"/>
          <w:highlight w:val="none"/>
        </w:rPr>
        <w:t>住房保障支出（类）</w:t>
      </w:r>
      <w:r>
        <w:rPr>
          <w:rFonts w:hint="eastAsia" w:ascii="仿宋_GB2312" w:hAnsi="仿宋_GB2312" w:eastAsia="仿宋_GB2312" w:cs="仿宋_GB2312"/>
          <w:sz w:val="32"/>
          <w:szCs w:val="32"/>
          <w:highlight w:val="none"/>
          <w:lang w:val="en-US" w:eastAsia="zh-CN"/>
        </w:rPr>
        <w:t>住房改革支出</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val="en-US" w:eastAsia="zh-CN"/>
        </w:rPr>
        <w:t>住房公积金(项)：</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4.65</w:t>
      </w:r>
      <w:r>
        <w:rPr>
          <w:rFonts w:hint="eastAsia" w:ascii="仿宋_GB2312" w:hAnsi="仿宋_GB2312" w:eastAsia="仿宋_GB2312" w:cs="仿宋_GB2312"/>
          <w:sz w:val="32"/>
          <w:szCs w:val="32"/>
          <w:highlight w:val="none"/>
        </w:rPr>
        <w:t>万元，主要用于：部门按人力资源和社会保障部、财政部规定的基本工资和津贴补贴以及规定比例为职工缴纳的住房公积金支出。</w:t>
      </w:r>
    </w:p>
    <w:p>
      <w:pPr>
        <w:spacing w:line="580" w:lineRule="exact"/>
        <w:ind w:firstLine="640" w:firstLineChars="200"/>
        <w:outlineLvl w:val="1"/>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四、一般公共预算基本支出情况说明</w:t>
      </w:r>
    </w:p>
    <w:p>
      <w:pPr>
        <w:spacing w:line="580" w:lineRule="exact"/>
        <w:ind w:firstLine="640" w:firstLineChars="200"/>
        <w:rPr>
          <w:rFonts w:hint="eastAsia"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2022年一般公共预算基本支出</w:t>
      </w:r>
      <w:r>
        <w:rPr>
          <w:rFonts w:hint="eastAsia" w:ascii="仿宋_GB2312" w:hAnsi="仿宋_GB2312" w:eastAsia="仿宋_GB2312" w:cs="仿宋_GB2312"/>
          <w:sz w:val="32"/>
          <w:szCs w:val="32"/>
          <w:highlight w:val="none"/>
        </w:rPr>
        <w:t>59.86</w:t>
      </w:r>
      <w:r>
        <w:rPr>
          <w:rFonts w:hint="eastAsia" w:ascii="Times New Roman" w:hAnsi="Times New Roman" w:eastAsia="仿宋_GB2312"/>
          <w:sz w:val="32"/>
          <w:szCs w:val="32"/>
          <w:highlight w:val="none"/>
        </w:rPr>
        <w:t>万元，其中：</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val="en-US" w:eastAsia="zh-CN"/>
        </w:rPr>
        <w:t>45.26</w:t>
      </w:r>
      <w:r>
        <w:rPr>
          <w:rFonts w:hint="eastAsia" w:ascii="仿宋_GB2312" w:hAnsi="仿宋_GB2312" w:eastAsia="仿宋_GB2312" w:cs="仿宋_GB2312"/>
          <w:sz w:val="32"/>
          <w:szCs w:val="32"/>
          <w:highlight w:val="none"/>
        </w:rPr>
        <w:t>万元，主要包括：基本工资、津贴补贴、奖金、其他工资福利支出、其他对个人和家庭的补助支出。</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14.60</w:t>
      </w:r>
      <w:r>
        <w:rPr>
          <w:rFonts w:hint="eastAsia" w:ascii="仿宋_GB2312" w:hAnsi="仿宋_GB2312" w:eastAsia="仿宋_GB2312" w:cs="仿宋_GB2312"/>
          <w:sz w:val="32"/>
          <w:szCs w:val="32"/>
          <w:highlight w:val="none"/>
        </w:rPr>
        <w:t>万元，主要包括：办公费、</w:t>
      </w:r>
      <w:r>
        <w:rPr>
          <w:rFonts w:hint="eastAsia" w:ascii="仿宋_GB2312" w:hAnsi="仿宋_GB2312" w:eastAsia="仿宋_GB2312" w:cs="仿宋_GB2312"/>
          <w:sz w:val="32"/>
          <w:szCs w:val="32"/>
          <w:highlight w:val="none"/>
          <w:lang w:val="en-US" w:eastAsia="zh-CN"/>
        </w:rPr>
        <w:t>印刷费、水费、</w:t>
      </w:r>
      <w:r>
        <w:rPr>
          <w:rFonts w:hint="eastAsia" w:ascii="仿宋_GB2312" w:hAnsi="仿宋_GB2312" w:eastAsia="仿宋_GB2312" w:cs="仿宋_GB2312"/>
          <w:sz w:val="32"/>
          <w:szCs w:val="32"/>
          <w:highlight w:val="none"/>
        </w:rPr>
        <w:t>邮电费、差旅费、</w:t>
      </w:r>
      <w:r>
        <w:rPr>
          <w:rFonts w:hint="eastAsia" w:ascii="仿宋_GB2312" w:hAnsi="仿宋_GB2312" w:eastAsia="仿宋_GB2312" w:cs="仿宋_GB2312"/>
          <w:sz w:val="32"/>
          <w:szCs w:val="32"/>
          <w:highlight w:val="none"/>
          <w:lang w:val="en-US" w:eastAsia="zh-CN"/>
        </w:rPr>
        <w:t>维修（护）费、</w:t>
      </w:r>
      <w:r>
        <w:rPr>
          <w:rFonts w:hint="eastAsia" w:ascii="仿宋_GB2312" w:hAnsi="仿宋_GB2312" w:eastAsia="仿宋_GB2312" w:cs="仿宋_GB2312"/>
          <w:sz w:val="32"/>
          <w:szCs w:val="32"/>
          <w:highlight w:val="none"/>
        </w:rPr>
        <w:t>公务接待费、</w:t>
      </w:r>
      <w:r>
        <w:rPr>
          <w:rFonts w:hint="eastAsia" w:ascii="仿宋_GB2312" w:hAnsi="仿宋_GB2312" w:eastAsia="仿宋_GB2312" w:cs="仿宋_GB2312"/>
          <w:sz w:val="32"/>
          <w:szCs w:val="32"/>
          <w:highlight w:val="none"/>
          <w:lang w:val="en-US" w:eastAsia="zh-CN"/>
        </w:rPr>
        <w:t>劳务费、</w:t>
      </w:r>
      <w:r>
        <w:rPr>
          <w:rFonts w:hint="eastAsia" w:ascii="仿宋_GB2312" w:hAnsi="仿宋_GB2312" w:eastAsia="仿宋_GB2312" w:cs="仿宋_GB2312"/>
          <w:sz w:val="32"/>
          <w:szCs w:val="32"/>
          <w:highlight w:val="none"/>
        </w:rPr>
        <w:t>福利费、</w:t>
      </w:r>
      <w:r>
        <w:rPr>
          <w:rFonts w:hint="eastAsia" w:ascii="仿宋_GB2312" w:hAnsi="仿宋_GB2312" w:eastAsia="仿宋_GB2312" w:cs="仿宋_GB2312"/>
          <w:sz w:val="32"/>
          <w:szCs w:val="32"/>
          <w:highlight w:val="none"/>
          <w:lang w:val="en-US" w:eastAsia="zh-CN"/>
        </w:rPr>
        <w:t>委托业务费、</w:t>
      </w:r>
      <w:r>
        <w:rPr>
          <w:rFonts w:hint="eastAsia" w:ascii="仿宋_GB2312" w:hAnsi="仿宋_GB2312" w:eastAsia="仿宋_GB2312" w:cs="仿宋_GB2312"/>
          <w:sz w:val="32"/>
          <w:szCs w:val="32"/>
          <w:highlight w:val="none"/>
        </w:rPr>
        <w:t>其他交通费</w:t>
      </w:r>
      <w:r>
        <w:rPr>
          <w:rFonts w:hint="eastAsia" w:ascii="仿宋_GB2312" w:hAnsi="仿宋_GB2312" w:eastAsia="仿宋_GB2312" w:cs="仿宋_GB2312"/>
          <w:sz w:val="32"/>
          <w:szCs w:val="32"/>
          <w:highlight w:val="none"/>
          <w:lang w:val="en-US" w:eastAsia="zh-CN"/>
        </w:rPr>
        <w:t>用、</w:t>
      </w:r>
      <w:r>
        <w:rPr>
          <w:rFonts w:hint="eastAsia" w:ascii="仿宋_GB2312" w:hAnsi="仿宋_GB2312" w:eastAsia="仿宋_GB2312" w:cs="仿宋_GB2312"/>
          <w:sz w:val="32"/>
          <w:szCs w:val="32"/>
          <w:highlight w:val="none"/>
        </w:rPr>
        <w:t>其他商品和服务支出</w:t>
      </w:r>
      <w:r>
        <w:rPr>
          <w:rFonts w:hint="eastAsia" w:ascii="仿宋_GB2312" w:hAnsi="仿宋_GB2312" w:eastAsia="仿宋_GB2312" w:cs="仿宋_GB2312"/>
          <w:sz w:val="32"/>
          <w:szCs w:val="32"/>
          <w:highlight w:val="none"/>
          <w:lang w:val="en-US" w:eastAsia="zh-CN"/>
        </w:rPr>
        <w:t>及资本性支出。</w:t>
      </w:r>
    </w:p>
    <w:p>
      <w:pPr>
        <w:spacing w:line="580" w:lineRule="exact"/>
        <w:ind w:firstLine="640" w:firstLineChars="200"/>
        <w:outlineLvl w:val="1"/>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五、“三公”经费财政拨款预算安排情况说明</w:t>
      </w:r>
    </w:p>
    <w:p>
      <w:pPr>
        <w:spacing w:line="580" w:lineRule="exact"/>
        <w:ind w:firstLine="640" w:firstLineChars="200"/>
        <w:rPr>
          <w:rFonts w:hint="eastAsia"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2022年“三公”经费财政拨款预算数</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万元，其中：公务接待费</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万元，公务用车购置及运行维护费</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万元。受新冠肺炎疫情影响，2022年市级年初部门预算暂不编列因公出国（境）经费。执行中，市级部门确需执行出国（境）任务和计划的，按照“一事一议”的方式按程序报批后安排经费。</w:t>
      </w:r>
    </w:p>
    <w:p>
      <w:pPr>
        <w:numPr>
          <w:ilvl w:val="0"/>
          <w:numId w:val="7"/>
        </w:numPr>
        <w:spacing w:line="580" w:lineRule="exact"/>
        <w:ind w:firstLine="640"/>
        <w:rPr>
          <w:rFonts w:hint="eastAsia" w:ascii="Times New Roman" w:hAnsi="Times New Roman" w:eastAsia="仿宋_GB2312"/>
          <w:sz w:val="32"/>
          <w:szCs w:val="32"/>
          <w:highlight w:val="none"/>
        </w:rPr>
      </w:pPr>
      <w:r>
        <w:rPr>
          <w:rFonts w:hint="eastAsia" w:ascii="Times New Roman" w:hAnsi="Times New Roman" w:eastAsia="楷体_GB2312"/>
          <w:b/>
          <w:sz w:val="32"/>
          <w:szCs w:val="32"/>
          <w:highlight w:val="none"/>
        </w:rPr>
        <w:t>公务接待费较2021年预算</w:t>
      </w:r>
      <w:r>
        <w:rPr>
          <w:rFonts w:hint="eastAsia" w:ascii="Times New Roman" w:hAnsi="Times New Roman" w:eastAsia="楷体_GB2312"/>
          <w:b/>
          <w:sz w:val="32"/>
          <w:szCs w:val="32"/>
          <w:highlight w:val="none"/>
          <w:u w:val="none"/>
          <w:lang w:eastAsia="zh-CN"/>
        </w:rPr>
        <w:t>持平</w:t>
      </w:r>
      <w:r>
        <w:rPr>
          <w:rFonts w:hint="eastAsia" w:ascii="Times New Roman" w:hAnsi="Times New Roman" w:eastAsia="楷体_GB2312"/>
          <w:b/>
          <w:sz w:val="32"/>
          <w:szCs w:val="32"/>
          <w:highlight w:val="none"/>
        </w:rPr>
        <w:t>。</w:t>
      </w:r>
      <w:r>
        <w:rPr>
          <w:rFonts w:hint="eastAsia" w:ascii="Times New Roman" w:hAnsi="Times New Roman" w:eastAsia="仿宋_GB2312"/>
          <w:sz w:val="32"/>
          <w:szCs w:val="32"/>
          <w:highlight w:val="none"/>
        </w:rPr>
        <w:t>主要原因是</w:t>
      </w:r>
      <w:r>
        <w:rPr>
          <w:rFonts w:hint="eastAsia" w:ascii="仿宋" w:hAnsi="仿宋" w:eastAsia="仿宋" w:cs="仿宋"/>
          <w:spacing w:val="-3"/>
          <w:sz w:val="32"/>
          <w:szCs w:val="32"/>
          <w:highlight w:val="none"/>
          <w:lang w:val="en-US" w:eastAsia="zh-CN"/>
        </w:rPr>
        <w:t>坚决贯彻落实</w:t>
      </w:r>
      <w:r>
        <w:rPr>
          <w:rFonts w:ascii="仿宋" w:hAnsi="仿宋" w:eastAsia="仿宋" w:cs="仿宋"/>
          <w:spacing w:val="-3"/>
          <w:sz w:val="32"/>
          <w:szCs w:val="32"/>
          <w:highlight w:val="none"/>
        </w:rPr>
        <w:t>党中央、国务院及省委、省政府关于厉行节约的相关要求，严格控制公务接待费预算规模</w:t>
      </w:r>
      <w:r>
        <w:rPr>
          <w:rFonts w:hint="eastAsia" w:ascii="仿宋" w:hAnsi="仿宋" w:eastAsia="仿宋" w:cs="仿宋"/>
          <w:spacing w:val="-3"/>
          <w:sz w:val="32"/>
          <w:szCs w:val="32"/>
          <w:highlight w:val="none"/>
          <w:lang w:eastAsia="zh-CN"/>
        </w:rPr>
        <w:t>，</w:t>
      </w:r>
      <w:r>
        <w:rPr>
          <w:rFonts w:hint="eastAsia" w:ascii="仿宋" w:hAnsi="仿宋" w:eastAsia="仿宋" w:cs="仿宋"/>
          <w:spacing w:val="-3"/>
          <w:sz w:val="32"/>
          <w:szCs w:val="32"/>
          <w:highlight w:val="none"/>
          <w:lang w:val="en-US" w:eastAsia="zh-CN"/>
        </w:rPr>
        <w:t>取消不必要的公务活动活动</w:t>
      </w:r>
      <w:r>
        <w:rPr>
          <w:rFonts w:hint="eastAsia" w:ascii="Times New Roman" w:hAnsi="Times New Roman" w:eastAsia="仿宋_GB2312"/>
          <w:sz w:val="32"/>
          <w:szCs w:val="32"/>
          <w:highlight w:val="none"/>
        </w:rPr>
        <w:t>。</w:t>
      </w:r>
    </w:p>
    <w:p>
      <w:pPr>
        <w:spacing w:line="580" w:lineRule="exact"/>
        <w:ind w:firstLine="640"/>
        <w:rPr>
          <w:rFonts w:hint="default" w:cs="宋体"/>
          <w:sz w:val="30"/>
          <w:szCs w:val="30"/>
          <w:highlight w:val="none"/>
          <w:lang w:val="en-US" w:eastAsia="zh-CN"/>
        </w:rPr>
      </w:pPr>
      <w:r>
        <w:rPr>
          <w:rFonts w:hint="eastAsia" w:ascii="Times New Roman" w:hAnsi="Times New Roman" w:eastAsia="仿宋_GB2312"/>
          <w:sz w:val="32"/>
          <w:szCs w:val="32"/>
          <w:highlight w:val="none"/>
        </w:rPr>
        <w:t>2022年公务接待费计划用于</w:t>
      </w:r>
      <w:r>
        <w:rPr>
          <w:rFonts w:hint="eastAsia" w:ascii="Times New Roman" w:hAnsi="Times New Roman" w:eastAsia="仿宋_GB2312"/>
          <w:sz w:val="32"/>
          <w:szCs w:val="32"/>
          <w:highlight w:val="none"/>
          <w:lang w:val="en-US" w:eastAsia="zh-CN"/>
        </w:rPr>
        <w:t>执行</w:t>
      </w:r>
      <w:r>
        <w:rPr>
          <w:rFonts w:hint="eastAsia" w:ascii="仿宋_GB2312" w:hAnsi="仿宋_GB2312" w:eastAsia="仿宋_GB2312" w:cs="仿宋_GB2312"/>
          <w:sz w:val="32"/>
          <w:szCs w:val="32"/>
          <w:highlight w:val="none"/>
        </w:rPr>
        <w:t>接待</w:t>
      </w:r>
      <w:r>
        <w:rPr>
          <w:rFonts w:hint="eastAsia" w:ascii="仿宋_GB2312" w:hAnsi="仿宋_GB2312" w:eastAsia="仿宋_GB2312" w:cs="仿宋_GB2312"/>
          <w:sz w:val="32"/>
          <w:szCs w:val="32"/>
          <w:highlight w:val="none"/>
          <w:lang w:val="en-US" w:eastAsia="zh-CN"/>
        </w:rPr>
        <w:t>考察调研、检查指导等公务活动开支的交通费、住宿费、用餐费</w:t>
      </w:r>
      <w:r>
        <w:rPr>
          <w:rFonts w:hint="eastAsia" w:ascii="仿宋_GB2312" w:hAnsi="仿宋_GB2312" w:eastAsia="仿宋_GB2312" w:cs="仿宋_GB2312"/>
          <w:sz w:val="32"/>
          <w:szCs w:val="32"/>
          <w:highlight w:val="none"/>
        </w:rPr>
        <w:t>等</w:t>
      </w:r>
      <w:r>
        <w:rPr>
          <w:rFonts w:hint="eastAsia" w:cs="宋体"/>
          <w:sz w:val="30"/>
          <w:szCs w:val="30"/>
          <w:highlight w:val="none"/>
          <w:lang w:val="en-US" w:eastAsia="zh-CN"/>
        </w:rPr>
        <w:t>。</w:t>
      </w:r>
    </w:p>
    <w:p>
      <w:pPr>
        <w:spacing w:line="580" w:lineRule="exact"/>
        <w:ind w:firstLine="321" w:firstLineChars="100"/>
        <w:rPr>
          <w:rFonts w:hint="eastAsia" w:ascii="Times New Roman" w:hAnsi="Times New Roman" w:eastAsia="黑体"/>
          <w:b/>
          <w:sz w:val="32"/>
          <w:szCs w:val="32"/>
          <w:highlight w:val="none"/>
        </w:rPr>
      </w:pPr>
      <w:r>
        <w:rPr>
          <w:rFonts w:hint="eastAsia" w:ascii="Times New Roman" w:hAnsi="Times New Roman" w:eastAsia="楷体_GB2312"/>
          <w:b/>
          <w:sz w:val="32"/>
          <w:szCs w:val="32"/>
          <w:highlight w:val="none"/>
        </w:rPr>
        <w:t>（二）公务用车购置及运行维护费</w:t>
      </w:r>
      <w:r>
        <w:rPr>
          <w:rFonts w:hint="eastAsia" w:ascii="Times New Roman" w:hAnsi="Times New Roman" w:eastAsia="楷体_GB2312"/>
          <w:b/>
          <w:sz w:val="32"/>
          <w:szCs w:val="32"/>
          <w:highlight w:val="none"/>
          <w:u w:val="none"/>
        </w:rPr>
        <w:t>与2021年预算持平</w:t>
      </w:r>
      <w:r>
        <w:rPr>
          <w:rFonts w:hint="eastAsia" w:ascii="Times New Roman" w:hAnsi="Times New Roman" w:eastAsia="楷体_GB2312"/>
          <w:b/>
          <w:sz w:val="32"/>
          <w:szCs w:val="32"/>
          <w:highlight w:val="none"/>
        </w:rPr>
        <w:t>。</w:t>
      </w:r>
    </w:p>
    <w:p>
      <w:pPr>
        <w:spacing w:line="580" w:lineRule="exact"/>
        <w:ind w:firstLine="64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单位现有公务用车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辆，其中：轿车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辆，旅行车（含商务车）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辆，越野车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辆，大型客、货车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w:t>
      </w:r>
    </w:p>
    <w:p>
      <w:pPr>
        <w:spacing w:line="580" w:lineRule="exact"/>
        <w:ind w:firstLine="64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2022年安排公务用车购置费</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万元，拟购置公务用车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辆，其中：轿车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辆，旅行车（含商务车）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辆，越野车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辆，大型客、货车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w:t>
      </w:r>
    </w:p>
    <w:p>
      <w:pPr>
        <w:spacing w:line="580" w:lineRule="exact"/>
        <w:ind w:firstLine="64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2022年安排公务用车运行维护费</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万元，用于</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辆公务用车</w:t>
      </w:r>
      <w:r>
        <w:rPr>
          <w:rFonts w:hint="eastAsia" w:ascii="Times New Roman" w:hAnsi="Times New Roman" w:eastAsia="仿宋_GB2312"/>
          <w:sz w:val="32"/>
          <w:szCs w:val="32"/>
          <w:highlight w:val="none"/>
          <w:u w:val="none"/>
        </w:rPr>
        <w:t>燃油、维修、保险</w:t>
      </w:r>
      <w:r>
        <w:rPr>
          <w:rFonts w:hint="eastAsia" w:ascii="Times New Roman" w:hAnsi="Times New Roman" w:eastAsia="仿宋_GB2312"/>
          <w:sz w:val="32"/>
          <w:szCs w:val="32"/>
          <w:highlight w:val="none"/>
        </w:rPr>
        <w:t>等方面支出。</w:t>
      </w:r>
    </w:p>
    <w:p>
      <w:pPr>
        <w:spacing w:line="580" w:lineRule="exact"/>
        <w:ind w:firstLine="640" w:firstLineChars="200"/>
        <w:outlineLvl w:val="1"/>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六、政府性基金预算支出情况说明</w:t>
      </w:r>
    </w:p>
    <w:p>
      <w:pPr>
        <w:spacing w:line="580" w:lineRule="exact"/>
        <w:ind w:firstLine="640" w:firstLineChars="200"/>
        <w:rPr>
          <w:rFonts w:hint="eastAsia"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2022年政府性基金预算支出</w:t>
      </w:r>
      <w:r>
        <w:rPr>
          <w:rFonts w:hint="eastAsia" w:ascii="仿宋_GB2312" w:hAnsi="仿宋_GB2312" w:eastAsia="仿宋_GB2312" w:cs="仿宋_GB2312"/>
          <w:sz w:val="32"/>
          <w:szCs w:val="32"/>
          <w:highlight w:val="none"/>
          <w:lang w:val="en-US" w:eastAsia="zh-CN"/>
        </w:rPr>
        <w:t>0</w:t>
      </w:r>
      <w:r>
        <w:rPr>
          <w:rFonts w:hint="eastAsia" w:ascii="Times New Roman" w:hAnsi="Times New Roman" w:eastAsia="仿宋_GB2312"/>
          <w:sz w:val="32"/>
          <w:szCs w:val="32"/>
          <w:highlight w:val="none"/>
        </w:rPr>
        <w:t>万元。</w:t>
      </w:r>
    </w:p>
    <w:p>
      <w:pPr>
        <w:spacing w:line="580" w:lineRule="exact"/>
        <w:ind w:firstLine="640" w:firstLineChars="200"/>
        <w:outlineLvl w:val="1"/>
        <w:rPr>
          <w:rFonts w:hint="eastAsia" w:ascii="Times New Roman" w:hAnsi="Times New Roman" w:eastAsia="仿宋_GB2312"/>
          <w:sz w:val="32"/>
          <w:szCs w:val="32"/>
          <w:highlight w:val="none"/>
        </w:rPr>
      </w:pPr>
      <w:r>
        <w:rPr>
          <w:rFonts w:hint="eastAsia" w:ascii="Times New Roman" w:hAnsi="Times New Roman" w:eastAsia="黑体"/>
          <w:sz w:val="32"/>
          <w:szCs w:val="32"/>
          <w:highlight w:val="none"/>
        </w:rPr>
        <w:t>七、国有资本经营预算情况说明</w:t>
      </w:r>
    </w:p>
    <w:p>
      <w:pPr>
        <w:spacing w:line="580" w:lineRule="exact"/>
        <w:ind w:firstLine="640" w:firstLineChars="200"/>
        <w:rPr>
          <w:rFonts w:hint="eastAsia" w:ascii="Times New Roman" w:hAnsi="Times New Roman" w:eastAsia="仿宋_GB2312"/>
          <w:sz w:val="32"/>
          <w:szCs w:val="32"/>
          <w:highlight w:val="none"/>
          <w:u w:val="single"/>
        </w:rPr>
      </w:pP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2022年没有使用国有资本经营预算拨款安排的支出。</w:t>
      </w:r>
    </w:p>
    <w:p>
      <w:pPr>
        <w:spacing w:line="580" w:lineRule="exact"/>
        <w:ind w:firstLine="640" w:firstLineChars="200"/>
        <w:outlineLvl w:val="1"/>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八、其他重要事项的情况说明</w:t>
      </w: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（一）机关运行经费情况</w:t>
      </w:r>
    </w:p>
    <w:p>
      <w:p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2022年，</w:t>
      </w: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的机关运行经费财政拨款预算为</w:t>
      </w:r>
      <w:r>
        <w:rPr>
          <w:rFonts w:hint="eastAsia" w:ascii="仿宋_GB2312" w:hAnsi="仿宋_GB2312" w:eastAsia="仿宋_GB2312" w:cs="仿宋_GB2312"/>
          <w:sz w:val="32"/>
          <w:szCs w:val="32"/>
          <w:highlight w:val="none"/>
          <w:lang w:val="en-US" w:eastAsia="zh-CN"/>
        </w:rPr>
        <w:t>14.60</w:t>
      </w:r>
      <w:r>
        <w:rPr>
          <w:rFonts w:hint="eastAsia" w:ascii="Times New Roman" w:hAnsi="Times New Roman" w:eastAsia="仿宋_GB2312"/>
          <w:sz w:val="32"/>
          <w:szCs w:val="32"/>
          <w:highlight w:val="none"/>
        </w:rPr>
        <w:t>万元，比2021年预算</w:t>
      </w:r>
      <w:r>
        <w:rPr>
          <w:rFonts w:hint="eastAsia" w:ascii="Times New Roman" w:hAnsi="Times New Roman" w:eastAsia="仿宋_GB2312"/>
          <w:sz w:val="32"/>
          <w:szCs w:val="32"/>
          <w:highlight w:val="none"/>
          <w:u w:val="none"/>
          <w:lang w:eastAsia="zh-CN"/>
        </w:rPr>
        <w:t>增加</w:t>
      </w:r>
      <w:r>
        <w:rPr>
          <w:rFonts w:hint="eastAsia" w:ascii="Times New Roman" w:hAnsi="Times New Roman" w:eastAsia="仿宋_GB2312"/>
          <w:sz w:val="32"/>
          <w:szCs w:val="32"/>
          <w:highlight w:val="none"/>
          <w:u w:val="none"/>
        </w:rPr>
        <w:t>3.06</w:t>
      </w:r>
      <w:r>
        <w:rPr>
          <w:rFonts w:hint="eastAsia" w:ascii="Times New Roman" w:hAnsi="Times New Roman" w:eastAsia="仿宋_GB2312"/>
          <w:sz w:val="32"/>
          <w:szCs w:val="32"/>
          <w:highlight w:val="none"/>
        </w:rPr>
        <w:t>万元，</w:t>
      </w:r>
      <w:r>
        <w:rPr>
          <w:rFonts w:hint="eastAsia" w:ascii="Times New Roman" w:hAnsi="Times New Roman" w:eastAsia="仿宋_GB2312"/>
          <w:sz w:val="32"/>
          <w:szCs w:val="32"/>
          <w:highlight w:val="none"/>
          <w:u w:val="none"/>
          <w:lang w:eastAsia="zh-CN"/>
        </w:rPr>
        <w:t>增加</w:t>
      </w:r>
      <w:r>
        <w:rPr>
          <w:rFonts w:hint="eastAsia" w:ascii="Times New Roman" w:hAnsi="Times New Roman" w:eastAsia="仿宋_GB2312"/>
          <w:sz w:val="32"/>
          <w:szCs w:val="32"/>
          <w:highlight w:val="none"/>
          <w:lang w:val="en-US" w:eastAsia="zh-CN"/>
        </w:rPr>
        <w:t>26.52</w:t>
      </w:r>
      <w:r>
        <w:rPr>
          <w:rFonts w:hint="eastAsia" w:ascii="Times New Roman" w:hAnsi="Times New Roman" w:eastAsia="仿宋_GB2312"/>
          <w:sz w:val="32"/>
          <w:szCs w:val="32"/>
          <w:highlight w:val="none"/>
        </w:rPr>
        <w:t>%。主要原因是</w:t>
      </w:r>
      <w:r>
        <w:rPr>
          <w:rFonts w:hint="eastAsia" w:ascii="Times New Roman" w:hAnsi="Times New Roman" w:eastAsia="仿宋_GB2312"/>
          <w:sz w:val="32"/>
          <w:szCs w:val="32"/>
          <w:highlight w:val="none"/>
          <w:lang w:eastAsia="zh-CN"/>
        </w:rPr>
        <w:t>单位增加了</w:t>
      </w:r>
      <w:r>
        <w:rPr>
          <w:rFonts w:hint="eastAsia" w:ascii="Times New Roman" w:hAnsi="Times New Roman" w:eastAsia="仿宋_GB2312"/>
          <w:sz w:val="32"/>
          <w:szCs w:val="32"/>
          <w:highlight w:val="none"/>
        </w:rPr>
        <w:t>文化旅游体育与传媒</w:t>
      </w:r>
      <w:r>
        <w:rPr>
          <w:rFonts w:hint="eastAsia" w:ascii="Times New Roman" w:hAnsi="Times New Roman" w:eastAsia="仿宋_GB2312"/>
          <w:sz w:val="32"/>
          <w:szCs w:val="32"/>
          <w:highlight w:val="none"/>
          <w:lang w:eastAsia="zh-CN"/>
        </w:rPr>
        <w:t>方面的支出，</w:t>
      </w:r>
      <w:r>
        <w:rPr>
          <w:rFonts w:hint="eastAsia" w:ascii="Times New Roman" w:hAnsi="Times New Roman" w:eastAsia="仿宋_GB2312"/>
          <w:sz w:val="32"/>
          <w:szCs w:val="32"/>
          <w:highlight w:val="none"/>
        </w:rPr>
        <w:t>机关运行经费</w:t>
      </w:r>
      <w:r>
        <w:rPr>
          <w:rFonts w:hint="eastAsia" w:ascii="Times New Roman" w:hAnsi="Times New Roman" w:eastAsia="仿宋_GB2312"/>
          <w:sz w:val="32"/>
          <w:szCs w:val="32"/>
          <w:highlight w:val="none"/>
          <w:lang w:eastAsia="zh-CN"/>
        </w:rPr>
        <w:t>费用增加</w:t>
      </w:r>
      <w:r>
        <w:rPr>
          <w:rFonts w:hint="eastAsia" w:ascii="Times New Roman" w:hAnsi="Times New Roman" w:eastAsia="仿宋_GB2312"/>
          <w:sz w:val="32"/>
          <w:szCs w:val="32"/>
          <w:highlight w:val="none"/>
        </w:rPr>
        <w:t>。</w:t>
      </w:r>
    </w:p>
    <w:p>
      <w:pPr>
        <w:spacing w:line="580" w:lineRule="exact"/>
        <w:ind w:firstLine="640"/>
        <w:rPr>
          <w:rFonts w:hint="eastAsia" w:ascii="Times New Roman" w:hAnsi="Times New Roman" w:eastAsia="仿宋_GB2312"/>
          <w:sz w:val="32"/>
          <w:szCs w:val="32"/>
          <w:highlight w:val="none"/>
        </w:rPr>
      </w:pP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（二）政府采购情况</w:t>
      </w:r>
    </w:p>
    <w:p>
      <w:pPr>
        <w:spacing w:line="580" w:lineRule="exact"/>
        <w:ind w:firstLine="640" w:firstLineChars="200"/>
        <w:rPr>
          <w:rFonts w:hint="eastAsia" w:ascii="Times New Roman" w:hAnsi="Times New Roman" w:eastAsia="楷体_GB2312"/>
          <w:b/>
          <w:sz w:val="32"/>
          <w:szCs w:val="32"/>
          <w:highlight w:val="none"/>
        </w:rPr>
      </w:pPr>
      <w:r>
        <w:rPr>
          <w:rFonts w:hint="eastAsia" w:ascii="Times New Roman" w:hAnsi="Times New Roman" w:eastAsia="仿宋_GB2312"/>
          <w:sz w:val="32"/>
          <w:szCs w:val="32"/>
          <w:highlight w:val="none"/>
        </w:rPr>
        <w:t>2022年，</w:t>
      </w: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安排政府采购预算</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w:t>
      </w:r>
    </w:p>
    <w:p>
      <w:pPr>
        <w:spacing w:line="580" w:lineRule="exact"/>
        <w:ind w:firstLine="643" w:firstLineChars="200"/>
        <w:outlineLvl w:val="2"/>
        <w:rPr>
          <w:rFonts w:hint="eastAsia" w:ascii="Times New Roman" w:hAnsi="Times New Roman" w:eastAsia="楷体_GB2312"/>
          <w:b/>
          <w:sz w:val="32"/>
          <w:szCs w:val="32"/>
          <w:highlight w:val="none"/>
        </w:rPr>
      </w:pPr>
      <w:r>
        <w:rPr>
          <w:rFonts w:hint="eastAsia" w:ascii="Times New Roman" w:hAnsi="Times New Roman" w:eastAsia="楷体_GB2312"/>
          <w:b/>
          <w:sz w:val="32"/>
          <w:szCs w:val="32"/>
          <w:highlight w:val="none"/>
        </w:rPr>
        <w:t>（三）国有资产占有使用情况</w:t>
      </w:r>
    </w:p>
    <w:p>
      <w:p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截至2021年底，</w:t>
      </w: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sz w:val="32"/>
          <w:szCs w:val="32"/>
          <w:highlight w:val="none"/>
        </w:rPr>
        <w:t>共有车辆</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辆。其中，定向保障用车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辆、执法执勤用车</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辆。单位价值200万元以上大型设备</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台</w:t>
      </w:r>
      <w:r>
        <w:rPr>
          <w:rFonts w:hint="eastAsia" w:ascii="Times New Roman" w:hAnsi="Times New Roman" w:eastAsia="仿宋_GB2312"/>
          <w:sz w:val="32"/>
          <w:szCs w:val="32"/>
          <w:highlight w:val="none"/>
          <w:u w:val="none"/>
        </w:rPr>
        <w:t>（套）</w:t>
      </w:r>
      <w:r>
        <w:rPr>
          <w:rFonts w:hint="eastAsia" w:ascii="Times New Roman" w:hAnsi="Times New Roman" w:eastAsia="仿宋_GB2312"/>
          <w:sz w:val="32"/>
          <w:szCs w:val="32"/>
          <w:highlight w:val="none"/>
        </w:rPr>
        <w:t>。</w:t>
      </w:r>
    </w:p>
    <w:p>
      <w:pPr>
        <w:spacing w:line="58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2022年部门预算未安排购置车辆及单位价值200万元以上大型设备。</w:t>
      </w:r>
    </w:p>
    <w:p>
      <w:pPr>
        <w:spacing w:line="580" w:lineRule="exact"/>
        <w:ind w:firstLine="643" w:firstLineChars="200"/>
        <w:outlineLvl w:val="2"/>
        <w:rPr>
          <w:rFonts w:hint="eastAsia" w:ascii="Times New Roman" w:hAnsi="Times New Roman" w:eastAsia="仿宋_GB2312" w:cs="仿宋_GB2312"/>
          <w:sz w:val="32"/>
          <w:szCs w:val="32"/>
          <w:highlight w:val="none"/>
        </w:rPr>
      </w:pPr>
      <w:r>
        <w:rPr>
          <w:rFonts w:hint="eastAsia" w:ascii="Times New Roman" w:hAnsi="Times New Roman" w:eastAsia="楷体_GB2312"/>
          <w:b/>
          <w:sz w:val="32"/>
          <w:szCs w:val="32"/>
          <w:highlight w:val="none"/>
        </w:rPr>
        <w:t>（四）预算绩效情况</w:t>
      </w:r>
    </w:p>
    <w:p>
      <w:pPr>
        <w:spacing w:line="578" w:lineRule="exact"/>
        <w:ind w:firstLine="640" w:firstLineChars="200"/>
        <w:rPr>
          <w:rFonts w:hint="eastAsia" w:ascii="Times New Roman" w:hAnsi="Times New Roman" w:eastAsia="仿宋_GB2312" w:cs="仿宋_GB2312"/>
          <w:color w:val="333333"/>
          <w:sz w:val="32"/>
          <w:szCs w:val="32"/>
          <w:highlight w:val="none"/>
        </w:rPr>
        <w:sectPr>
          <w:footerReference r:id="rId9" w:type="default"/>
          <w:pgSz w:w="11906" w:h="16838"/>
          <w:pgMar w:top="1440" w:right="1800" w:bottom="1440" w:left="1800" w:header="720" w:footer="720" w:gutter="0"/>
          <w:pgNumType w:fmt="numberInDash"/>
          <w:cols w:space="720" w:num="1"/>
          <w:docGrid w:type="lines" w:linePitch="312" w:charSpace="0"/>
        </w:sectPr>
      </w:pPr>
      <w:r>
        <w:rPr>
          <w:rFonts w:hint="eastAsia" w:ascii="Times New Roman" w:hAnsi="Times New Roman" w:eastAsia="仿宋_GB2312" w:cs="仿宋_GB2312"/>
          <w:sz w:val="32"/>
          <w:szCs w:val="32"/>
          <w:highlight w:val="none"/>
        </w:rPr>
        <w:t>2022年</w:t>
      </w:r>
      <w:r>
        <w:rPr>
          <w:rFonts w:hint="eastAsia" w:ascii="仿宋_GB2312" w:hAnsi="仿宋_GB2312" w:eastAsia="仿宋_GB2312" w:cs="仿宋_GB2312"/>
          <w:sz w:val="32"/>
          <w:szCs w:val="32"/>
          <w:highlight w:val="none"/>
        </w:rPr>
        <w:t>乐山</w:t>
      </w:r>
      <w:r>
        <w:rPr>
          <w:rFonts w:hint="eastAsia" w:ascii="仿宋_GB2312" w:hAnsi="仿宋_GB2312" w:eastAsia="仿宋_GB2312" w:cs="仿宋_GB2312"/>
          <w:sz w:val="32"/>
          <w:szCs w:val="32"/>
          <w:highlight w:val="none"/>
          <w:lang w:eastAsia="zh-CN"/>
        </w:rPr>
        <w:t>市文化和旅游数据中心</w:t>
      </w:r>
      <w:r>
        <w:rPr>
          <w:rFonts w:hint="eastAsia" w:ascii="Times New Roman" w:hAnsi="Times New Roman" w:eastAsia="仿宋_GB2312" w:cs="仿宋_GB2312"/>
          <w:sz w:val="32"/>
          <w:szCs w:val="32"/>
          <w:highlight w:val="none"/>
        </w:rPr>
        <w:t>开展绩效目标管理的项目</w:t>
      </w:r>
      <w:r>
        <w:rPr>
          <w:rFonts w:hint="eastAsia" w:ascii="Times New Roman" w:hAnsi="Times New Roman" w:eastAsia="仿宋_GB2312" w:cs="仿宋_GB2312"/>
          <w:sz w:val="32"/>
          <w:szCs w:val="32"/>
          <w:highlight w:val="none"/>
          <w:lang w:val="en-US" w:eastAsia="zh-CN"/>
        </w:rPr>
        <w:t>0</w:t>
      </w:r>
      <w:r>
        <w:rPr>
          <w:rFonts w:hint="eastAsia" w:ascii="Times New Roman" w:hAnsi="Times New Roman" w:eastAsia="仿宋_GB2312" w:cs="仿宋_GB2312"/>
          <w:sz w:val="32"/>
          <w:szCs w:val="32"/>
          <w:highlight w:val="none"/>
        </w:rPr>
        <w:t>个，涉及预算</w:t>
      </w:r>
      <w:r>
        <w:rPr>
          <w:rFonts w:hint="eastAsia" w:ascii="仿宋_GB2312" w:hAnsi="仿宋_GB2312" w:eastAsia="仿宋_GB2312" w:cs="仿宋_GB2312"/>
          <w:sz w:val="32"/>
          <w:szCs w:val="32"/>
          <w:highlight w:val="none"/>
          <w:lang w:val="en-US" w:eastAsia="zh-CN"/>
        </w:rPr>
        <w:t>59.86</w:t>
      </w:r>
      <w:r>
        <w:rPr>
          <w:rFonts w:hint="eastAsia" w:ascii="Times New Roman" w:hAnsi="Times New Roman" w:eastAsia="仿宋_GB2312" w:cs="仿宋_GB2312"/>
          <w:sz w:val="32"/>
          <w:szCs w:val="32"/>
          <w:highlight w:val="none"/>
        </w:rPr>
        <w:t>万元</w:t>
      </w:r>
    </w:p>
    <w:p>
      <w:pPr>
        <w:pStyle w:val="4"/>
        <w:widowControl/>
        <w:spacing w:before="0" w:beforeAutospacing="0" w:after="0" w:afterAutospacing="0"/>
        <w:jc w:val="both"/>
        <w:rPr>
          <w:rFonts w:hint="eastAsia" w:ascii="Times New Roman" w:hAnsi="Times New Roman" w:eastAsia="方正小标宋简体" w:cs="方正小标宋简体"/>
          <w:sz w:val="52"/>
          <w:szCs w:val="52"/>
          <w:highlight w:val="none"/>
          <w:lang w:bidi="ar"/>
        </w:rPr>
      </w:pPr>
    </w:p>
    <w:p>
      <w:pPr>
        <w:ind w:firstLine="0" w:firstLineChars="0"/>
        <w:jc w:val="center"/>
        <w:outlineLvl w:val="0"/>
        <w:rPr>
          <w:rFonts w:ascii="Times New Roman" w:hAnsi="Times New Roman" w:eastAsia="仿宋_GB2312"/>
          <w:sz w:val="32"/>
          <w:szCs w:val="32"/>
          <w:highlight w:val="none"/>
        </w:rPr>
        <w:sectPr>
          <w:footerReference r:id="rId10" w:type="default"/>
          <w:pgSz w:w="11906" w:h="16838"/>
          <w:pgMar w:top="1440" w:right="1800" w:bottom="1440" w:left="1800" w:header="720" w:footer="720" w:gutter="0"/>
          <w:pgNumType w:fmt="numberInDash"/>
          <w:cols w:space="720" w:num="1"/>
          <w:docGrid w:type="lines" w:linePitch="312" w:charSpace="0"/>
        </w:sectPr>
      </w:pPr>
      <w:r>
        <w:rPr>
          <w:rFonts w:hint="eastAsia" w:ascii="Times New Roman" w:hAnsi="Times New Roman" w:eastAsia="方正小标宋简体" w:cs="方正小标宋简体"/>
          <w:kern w:val="0"/>
          <w:sz w:val="52"/>
          <w:szCs w:val="52"/>
          <w:highlight w:val="none"/>
          <w:lang w:bidi="ar"/>
        </w:rPr>
        <w:t xml:space="preserve">第四部分  </w:t>
      </w:r>
      <w:r>
        <w:rPr>
          <w:rFonts w:ascii="Times New Roman" w:hAnsi="Times New Roman" w:eastAsia="方正小标宋简体" w:cs="方正小标宋简体"/>
          <w:kern w:val="0"/>
          <w:sz w:val="52"/>
          <w:szCs w:val="52"/>
          <w:highlight w:val="none"/>
          <w:lang w:bidi="ar"/>
        </w:rPr>
        <w:t>名词解释</w:t>
      </w:r>
    </w:p>
    <w:p>
      <w:pPr>
        <w:ind w:firstLine="0" w:firstLineChars="0"/>
        <w:rPr>
          <w:rFonts w:hint="eastAsia" w:ascii="Times New Roman" w:hAnsi="Times New Roman" w:eastAsia="仿宋_GB2312"/>
          <w:sz w:val="32"/>
          <w:szCs w:val="32"/>
          <w:highlight w:val="none"/>
        </w:rPr>
      </w:pPr>
    </w:p>
    <w:p>
      <w:pPr>
        <w:pStyle w:val="10"/>
        <w:ind w:left="210" w:right="210" w:firstLine="635"/>
        <w:rPr>
          <w:rFonts w:hint="eastAsia" w:ascii="Times New Roman" w:hAnsi="Times New Roman" w:eastAsia="仿宋_GB2312"/>
          <w:highlight w:val="none"/>
        </w:rPr>
      </w:pPr>
      <w:r>
        <w:rPr>
          <w:rFonts w:hint="eastAsia"/>
          <w:highlight w:val="none"/>
        </w:rPr>
        <w:t>财政拨款收支情况：</w:t>
      </w:r>
      <w:r>
        <w:rPr>
          <w:rFonts w:ascii="Times New Roman" w:hAnsi="Times New Roman" w:eastAsia="仿宋_GB2312"/>
          <w:highlight w:val="none"/>
        </w:rPr>
        <w:t>指</w:t>
      </w:r>
      <w:r>
        <w:rPr>
          <w:rFonts w:hint="eastAsia" w:ascii="Times New Roman" w:hAnsi="Times New Roman" w:eastAsia="仿宋_GB2312"/>
          <w:highlight w:val="none"/>
        </w:rPr>
        <w:t>一般公共预算、政府性基金预算、国有资本经营预算拨款收支情况。</w:t>
      </w:r>
    </w:p>
    <w:p>
      <w:pPr>
        <w:pStyle w:val="10"/>
        <w:ind w:left="210" w:right="210" w:firstLine="635"/>
        <w:rPr>
          <w:rFonts w:hint="eastAsia" w:ascii="Times New Roman" w:hAnsi="Times New Roman" w:eastAsia="仿宋_GB2312"/>
          <w:highlight w:val="none"/>
        </w:rPr>
      </w:pPr>
      <w:r>
        <w:rPr>
          <w:rFonts w:hint="eastAsia"/>
          <w:highlight w:val="none"/>
        </w:rPr>
        <w:t>一般公共预算拨款收入：</w:t>
      </w:r>
      <w:r>
        <w:rPr>
          <w:rFonts w:hint="eastAsia" w:ascii="Times New Roman" w:hAnsi="Times New Roman" w:eastAsia="仿宋_GB2312"/>
          <w:highlight w:val="none"/>
        </w:rPr>
        <w:t>指财政当年拨付的资金。</w:t>
      </w:r>
    </w:p>
    <w:p>
      <w:pPr>
        <w:pStyle w:val="10"/>
        <w:ind w:left="210" w:right="210" w:firstLine="635"/>
        <w:rPr>
          <w:rFonts w:hint="eastAsia" w:ascii="Times New Roman" w:hAnsi="Times New Roman" w:eastAsia="仿宋_GB2312"/>
          <w:highlight w:val="none"/>
        </w:rPr>
      </w:pPr>
      <w:r>
        <w:rPr>
          <w:rFonts w:hint="eastAsia"/>
          <w:highlight w:val="none"/>
        </w:rPr>
        <w:t>事业收入：</w:t>
      </w:r>
      <w:r>
        <w:rPr>
          <w:rFonts w:hint="eastAsia" w:ascii="Times New Roman" w:hAnsi="Times New Roman" w:eastAsia="仿宋_GB2312"/>
          <w:highlight w:val="none"/>
        </w:rPr>
        <w:t>指事业单位开展专业业务活动及辅助活动所取得的收入。</w:t>
      </w:r>
    </w:p>
    <w:p>
      <w:pPr>
        <w:pStyle w:val="10"/>
        <w:ind w:left="210" w:right="210" w:firstLine="635"/>
        <w:rPr>
          <w:rFonts w:hint="eastAsia" w:ascii="Times New Roman" w:hAnsi="Times New Roman" w:eastAsia="仿宋_GB2312"/>
          <w:highlight w:val="none"/>
        </w:rPr>
      </w:pPr>
      <w:r>
        <w:rPr>
          <w:rFonts w:hint="eastAsia"/>
          <w:highlight w:val="none"/>
        </w:rPr>
        <w:t>事业单位经营收入：</w:t>
      </w:r>
      <w:r>
        <w:rPr>
          <w:rFonts w:hint="eastAsia" w:ascii="Times New Roman" w:hAnsi="Times New Roman" w:eastAsia="仿宋_GB2312"/>
          <w:highlight w:val="none"/>
        </w:rPr>
        <w:t>指事业单位在专业业务活动及其辅助活动之外开展非独立核算经营活动取得的收入。</w:t>
      </w:r>
    </w:p>
    <w:p>
      <w:pPr>
        <w:pStyle w:val="10"/>
        <w:ind w:left="210" w:right="210" w:firstLine="635"/>
        <w:rPr>
          <w:rFonts w:hint="eastAsia" w:ascii="Times New Roman" w:hAnsi="Times New Roman" w:eastAsia="仿宋_GB2312"/>
          <w:highlight w:val="none"/>
        </w:rPr>
      </w:pPr>
      <w:r>
        <w:rPr>
          <w:rFonts w:hint="eastAsia"/>
          <w:highlight w:val="none"/>
        </w:rPr>
        <w:t>其他收入：</w:t>
      </w:r>
      <w:r>
        <w:rPr>
          <w:rFonts w:hint="eastAsia" w:ascii="Times New Roman" w:hAnsi="Times New Roman" w:eastAsia="仿宋_GB2312"/>
          <w:highlight w:val="none"/>
        </w:rPr>
        <w:t>指除上述“一般公共预算拨款收入”、“事业收入”、“事业单位经营收入”等以外的收入。</w:t>
      </w:r>
    </w:p>
    <w:p>
      <w:pPr>
        <w:pStyle w:val="10"/>
        <w:ind w:left="210" w:right="210" w:firstLine="635"/>
        <w:rPr>
          <w:rFonts w:hint="eastAsia" w:ascii="Times New Roman" w:hAnsi="Times New Roman" w:eastAsia="仿宋_GB2312"/>
          <w:highlight w:val="none"/>
        </w:rPr>
      </w:pPr>
      <w:r>
        <w:rPr>
          <w:rFonts w:hint="eastAsia"/>
          <w:highlight w:val="none"/>
        </w:rPr>
        <w:t>上年结转：</w:t>
      </w:r>
      <w:r>
        <w:rPr>
          <w:rFonts w:hint="eastAsia" w:ascii="Times New Roman" w:hAnsi="Times New Roman" w:eastAsia="仿宋_GB2312"/>
          <w:highlight w:val="none"/>
        </w:rPr>
        <w:t>指以前年度尚未完成，结转到本年仍按原规定用途继续使用的资金。</w:t>
      </w:r>
    </w:p>
    <w:p>
      <w:pPr>
        <w:pStyle w:val="10"/>
        <w:ind w:left="210" w:right="210" w:firstLine="635"/>
        <w:rPr>
          <w:rFonts w:hint="eastAsia" w:ascii="Times New Roman" w:hAnsi="Times New Roman" w:eastAsia="仿宋_GB2312"/>
          <w:highlight w:val="none"/>
        </w:rPr>
      </w:pPr>
      <w:r>
        <w:rPr>
          <w:rFonts w:hint="eastAsia"/>
          <w:highlight w:val="none"/>
        </w:rPr>
        <w:t>社会保障和就业（类）行政事业单位离退休（款）事业单位离退休（项）：</w:t>
      </w:r>
      <w:r>
        <w:rPr>
          <w:rFonts w:hint="eastAsia" w:ascii="Times New Roman" w:hAnsi="Times New Roman" w:eastAsia="仿宋_GB2312"/>
          <w:highlight w:val="none"/>
        </w:rPr>
        <w:t>指离退休人员的支出。</w:t>
      </w:r>
    </w:p>
    <w:p>
      <w:pPr>
        <w:pStyle w:val="10"/>
        <w:ind w:left="210" w:right="210" w:firstLine="635"/>
        <w:rPr>
          <w:rFonts w:hint="eastAsia" w:ascii="Times New Roman" w:hAnsi="Times New Roman" w:eastAsia="仿宋_GB2312"/>
          <w:highlight w:val="none"/>
        </w:rPr>
      </w:pPr>
      <w:r>
        <w:rPr>
          <w:rFonts w:hint="eastAsia"/>
          <w:highlight w:val="none"/>
        </w:rPr>
        <w:t>社会保障和就业（类）行政事业单位离退休（款）未归口管理的行政单位离退休（项）：</w:t>
      </w:r>
      <w:r>
        <w:rPr>
          <w:rFonts w:hint="eastAsia" w:ascii="Times New Roman" w:hAnsi="Times New Roman" w:eastAsia="仿宋_GB2312"/>
          <w:highlight w:val="none"/>
        </w:rPr>
        <w:t>指离退休人员的支出。</w:t>
      </w:r>
    </w:p>
    <w:p>
      <w:pPr>
        <w:pStyle w:val="10"/>
        <w:ind w:left="210" w:right="210" w:firstLine="635"/>
        <w:rPr>
          <w:rFonts w:hint="eastAsia"/>
          <w:highlight w:val="none"/>
        </w:rPr>
      </w:pPr>
      <w:r>
        <w:rPr>
          <w:rFonts w:hint="eastAsia"/>
          <w:highlight w:val="none"/>
        </w:rPr>
        <w:t>社会保障和就业（类）行政事业单位离退休（款）机关事业单位基本养老保险缴费支出（项）：</w:t>
      </w:r>
      <w:r>
        <w:rPr>
          <w:rFonts w:hint="eastAsia" w:ascii="Times New Roman" w:hAnsi="Times New Roman" w:eastAsia="仿宋_GB2312"/>
          <w:highlight w:val="none"/>
        </w:rPr>
        <w:t>指部门实施养老保险制度由单位缴纳的养老保险费的支出。</w:t>
      </w:r>
    </w:p>
    <w:p>
      <w:pPr>
        <w:pStyle w:val="10"/>
        <w:ind w:left="210" w:right="210" w:firstLine="635"/>
        <w:rPr>
          <w:rFonts w:hint="eastAsia" w:ascii="Times New Roman" w:hAnsi="Times New Roman" w:eastAsia="仿宋_GB2312"/>
          <w:highlight w:val="none"/>
        </w:rPr>
      </w:pPr>
      <w:r>
        <w:rPr>
          <w:rFonts w:hint="eastAsia"/>
          <w:highlight w:val="none"/>
        </w:rPr>
        <w:t>社会保障和就业（类）行政事业单位离退休（款）机关事业单位职业年金缴费支出（项）：</w:t>
      </w:r>
      <w:r>
        <w:rPr>
          <w:rFonts w:hint="eastAsia" w:ascii="Times New Roman" w:hAnsi="Times New Roman" w:eastAsia="仿宋_GB2312"/>
          <w:highlight w:val="none"/>
        </w:rPr>
        <w:t>指部门实施养老保险制度由单位缴纳的职业年金的支出。</w:t>
      </w:r>
    </w:p>
    <w:p>
      <w:pPr>
        <w:pStyle w:val="10"/>
        <w:ind w:left="210" w:right="210" w:firstLine="635"/>
        <w:rPr>
          <w:rFonts w:hint="eastAsia" w:ascii="Times New Roman" w:hAnsi="Times New Roman" w:eastAsia="仿宋_GB2312"/>
          <w:highlight w:val="none"/>
        </w:rPr>
      </w:pPr>
      <w:r>
        <w:rPr>
          <w:rFonts w:hint="eastAsia"/>
          <w:highlight w:val="none"/>
        </w:rPr>
        <w:t>社会保障和就业（类）其他社会保障和就业（款）其他社会保障和就业支出（项）：</w:t>
      </w:r>
      <w:r>
        <w:rPr>
          <w:rFonts w:hint="eastAsia" w:ascii="Times New Roman" w:hAnsi="Times New Roman" w:eastAsia="仿宋_GB2312"/>
          <w:highlight w:val="none"/>
        </w:rPr>
        <w:t>指除上述项目外，其他用于行政事业单位离退休方面的支出。</w:t>
      </w:r>
    </w:p>
    <w:p>
      <w:pPr>
        <w:pStyle w:val="10"/>
        <w:ind w:left="210" w:right="210" w:firstLine="635"/>
        <w:rPr>
          <w:rFonts w:hint="eastAsia" w:ascii="Times New Roman" w:hAnsi="Times New Roman" w:eastAsia="仿宋_GB2312"/>
          <w:highlight w:val="none"/>
        </w:rPr>
      </w:pPr>
      <w:r>
        <w:rPr>
          <w:rFonts w:hint="eastAsia"/>
          <w:highlight w:val="none"/>
        </w:rPr>
        <w:t>医疗卫生与计划生育（类）行政事业单位医疗（款）行政单位医疗（项）：</w:t>
      </w:r>
      <w:r>
        <w:rPr>
          <w:rFonts w:hint="eastAsia" w:ascii="Times New Roman" w:hAnsi="Times New Roman" w:eastAsia="仿宋_GB2312"/>
          <w:highlight w:val="none"/>
        </w:rPr>
        <w:t>指行政单位及参公管理事业单位用于缴纳单位基本医疗保险支出。</w:t>
      </w:r>
    </w:p>
    <w:p>
      <w:pPr>
        <w:pStyle w:val="10"/>
        <w:ind w:left="210" w:right="210" w:firstLine="635"/>
        <w:rPr>
          <w:rFonts w:hint="eastAsia" w:ascii="Times New Roman" w:hAnsi="Times New Roman" w:eastAsia="仿宋_GB2312"/>
          <w:highlight w:val="none"/>
        </w:rPr>
      </w:pPr>
      <w:r>
        <w:rPr>
          <w:rFonts w:hint="eastAsia"/>
          <w:highlight w:val="none"/>
        </w:rPr>
        <w:t>医疗卫生与计划生育（类）行政事业单位医疗（款）事业单位医疗（项）：</w:t>
      </w:r>
      <w:r>
        <w:rPr>
          <w:rFonts w:hint="eastAsia" w:ascii="Times New Roman" w:hAnsi="Times New Roman" w:eastAsia="仿宋_GB2312"/>
          <w:highlight w:val="none"/>
        </w:rPr>
        <w:t>指事业单位用于缴纳单位基本医疗保险支出。</w:t>
      </w:r>
    </w:p>
    <w:p>
      <w:pPr>
        <w:pStyle w:val="10"/>
        <w:ind w:left="210" w:right="210" w:firstLine="635"/>
        <w:rPr>
          <w:rFonts w:hint="eastAsia"/>
          <w:highlight w:val="none"/>
        </w:rPr>
      </w:pPr>
      <w:r>
        <w:rPr>
          <w:rFonts w:hint="eastAsia"/>
          <w:highlight w:val="none"/>
        </w:rPr>
        <w:t>医疗卫生与计划生育（类）行政事业单位医疗（款）公务员医疗补助（项）：</w:t>
      </w:r>
      <w:r>
        <w:rPr>
          <w:rFonts w:hint="eastAsia" w:ascii="Times New Roman" w:hAnsi="Times New Roman" w:eastAsia="仿宋_GB2312"/>
          <w:highlight w:val="none"/>
        </w:rPr>
        <w:t>指行政单位及参公管理事业单位用于集中缴纳公务员医疗补助支出。</w:t>
      </w:r>
    </w:p>
    <w:p>
      <w:pPr>
        <w:pStyle w:val="10"/>
        <w:ind w:left="210" w:right="210" w:firstLine="635"/>
        <w:rPr>
          <w:rFonts w:hint="eastAsia" w:ascii="Times New Roman" w:hAnsi="Times New Roman" w:eastAsia="仿宋_GB2312"/>
          <w:highlight w:val="none"/>
        </w:rPr>
      </w:pPr>
      <w:r>
        <w:rPr>
          <w:rFonts w:hint="eastAsia"/>
          <w:highlight w:val="none"/>
        </w:rPr>
        <w:t>住房保障（类）住房改革支出（款）住房公积金（项）：</w:t>
      </w:r>
      <w:r>
        <w:rPr>
          <w:rFonts w:hint="eastAsia" w:ascii="Times New Roman" w:hAnsi="Times New Roman" w:eastAsia="仿宋_GB2312"/>
          <w:highlight w:val="none"/>
        </w:rPr>
        <w:t>指由单位及其在职职工按规定缴存的住房公积金支出。</w:t>
      </w:r>
    </w:p>
    <w:p>
      <w:pPr>
        <w:pStyle w:val="10"/>
        <w:ind w:left="210" w:right="210" w:firstLine="635"/>
        <w:rPr>
          <w:rFonts w:hint="eastAsia" w:ascii="Times New Roman" w:hAnsi="Times New Roman" w:eastAsia="仿宋_GB2312"/>
          <w:highlight w:val="none"/>
        </w:rPr>
      </w:pPr>
      <w:r>
        <w:rPr>
          <w:rFonts w:hint="eastAsia"/>
          <w:highlight w:val="none"/>
        </w:rPr>
        <w:t>基本支出：</w:t>
      </w:r>
      <w:r>
        <w:rPr>
          <w:rFonts w:hint="eastAsia" w:ascii="Times New Roman" w:hAnsi="Times New Roman" w:eastAsia="仿宋_GB2312"/>
          <w:highlight w:val="none"/>
        </w:rPr>
        <w:t>指为保证机构正常运转，完成日常工作任务而发生的人员支出和公用支出。</w:t>
      </w:r>
    </w:p>
    <w:p>
      <w:pPr>
        <w:pStyle w:val="10"/>
        <w:ind w:left="210" w:right="210" w:firstLine="635"/>
        <w:rPr>
          <w:rFonts w:hint="eastAsia"/>
          <w:highlight w:val="none"/>
        </w:rPr>
      </w:pPr>
      <w:r>
        <w:rPr>
          <w:rFonts w:hint="eastAsia"/>
          <w:highlight w:val="none"/>
        </w:rPr>
        <w:t>项目支出：</w:t>
      </w:r>
      <w:r>
        <w:rPr>
          <w:rFonts w:hint="eastAsia" w:ascii="Times New Roman" w:hAnsi="Times New Roman" w:eastAsia="仿宋_GB2312"/>
          <w:highlight w:val="none"/>
        </w:rPr>
        <w:t>指在基本支出之外为完成特定行政任务和事业发展目标所发生的支出。</w:t>
      </w:r>
    </w:p>
    <w:p>
      <w:pPr>
        <w:pStyle w:val="10"/>
        <w:ind w:left="210" w:right="210" w:firstLine="635"/>
        <w:rPr>
          <w:rFonts w:ascii="Times New Roman" w:hAnsi="Times New Roman" w:eastAsia="仿宋_GB2312"/>
          <w:highlight w:val="none"/>
        </w:rPr>
      </w:pPr>
      <w:r>
        <w:rPr>
          <w:rFonts w:hint="eastAsia"/>
          <w:highlight w:val="none"/>
        </w:rPr>
        <w:t>三公经费：</w:t>
      </w:r>
      <w:r>
        <w:rPr>
          <w:rFonts w:hint="eastAsia" w:ascii="Times New Roman" w:hAnsi="Times New Roman" w:eastAsia="仿宋_GB2312"/>
          <w:highlight w:val="none"/>
        </w:rPr>
        <w:t>纳入预算管理的“三公”经费，是指部门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rPr>
          <w:highlight w:val="none"/>
        </w:rPr>
      </w:pPr>
    </w:p>
    <w:sectPr>
      <w:footerReference r:id="rId11" w:type="default"/>
      <w:pgSz w:w="11906" w:h="16838"/>
      <w:pgMar w:top="1440" w:right="1800" w:bottom="1440" w:left="1800" w:header="720" w:footer="720" w:gutter="0"/>
      <w:pgNumType w:fmt="numberInDash"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82C17"/>
    <w:multiLevelType w:val="singleLevel"/>
    <w:tmpl w:val="9F882C17"/>
    <w:lvl w:ilvl="0" w:tentative="0">
      <w:start w:val="2"/>
      <w:numFmt w:val="chineseCounting"/>
      <w:suff w:val="nothing"/>
      <w:lvlText w:val="（%1）"/>
      <w:lvlJc w:val="left"/>
      <w:rPr>
        <w:rFonts w:hint="eastAsia"/>
      </w:rPr>
    </w:lvl>
  </w:abstractNum>
  <w:abstractNum w:abstractNumId="1">
    <w:nsid w:val="A6E7602E"/>
    <w:multiLevelType w:val="singleLevel"/>
    <w:tmpl w:val="A6E7602E"/>
    <w:lvl w:ilvl="0" w:tentative="0">
      <w:start w:val="1"/>
      <w:numFmt w:val="chineseCounting"/>
      <w:suff w:val="nothing"/>
      <w:lvlText w:val="（%1）"/>
      <w:lvlJc w:val="left"/>
      <w:rPr>
        <w:rFonts w:hint="eastAsia"/>
      </w:rPr>
    </w:lvl>
  </w:abstractNum>
  <w:abstractNum w:abstractNumId="2">
    <w:nsid w:val="ABF47CE9"/>
    <w:multiLevelType w:val="singleLevel"/>
    <w:tmpl w:val="ABF47CE9"/>
    <w:lvl w:ilvl="0" w:tentative="0">
      <w:start w:val="12"/>
      <w:numFmt w:val="chineseCounting"/>
      <w:suff w:val="nothing"/>
      <w:lvlText w:val="%1、"/>
      <w:lvlJc w:val="left"/>
      <w:rPr>
        <w:rFonts w:hint="eastAsia"/>
      </w:rPr>
    </w:lvl>
  </w:abstractNum>
  <w:abstractNum w:abstractNumId="3">
    <w:nsid w:val="AECA5751"/>
    <w:multiLevelType w:val="singleLevel"/>
    <w:tmpl w:val="AECA5751"/>
    <w:lvl w:ilvl="0" w:tentative="0">
      <w:start w:val="10"/>
      <w:numFmt w:val="chineseCounting"/>
      <w:suff w:val="nothing"/>
      <w:lvlText w:val="%1、"/>
      <w:lvlJc w:val="left"/>
      <w:rPr>
        <w:rFonts w:hint="eastAsia"/>
      </w:rPr>
    </w:lvl>
  </w:abstractNum>
  <w:abstractNum w:abstractNumId="4">
    <w:nsid w:val="12073AA9"/>
    <w:multiLevelType w:val="multilevel"/>
    <w:tmpl w:val="12073AA9"/>
    <w:lvl w:ilvl="0" w:tentative="0">
      <w:start w:val="1"/>
      <w:numFmt w:val="chineseCountingThousand"/>
      <w:pStyle w:val="10"/>
      <w:lvlText w:val="(%1)"/>
      <w:lvlJc w:val="left"/>
      <w:pPr>
        <w:ind w:left="420" w:hanging="420"/>
      </w:pPr>
      <w:rPr>
        <w:rFonts w:hint="eastAsia" w:ascii="楷体_GB2312" w:eastAsia="楷体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E06B02"/>
    <w:multiLevelType w:val="singleLevel"/>
    <w:tmpl w:val="22E06B02"/>
    <w:lvl w:ilvl="0" w:tentative="0">
      <w:start w:val="4"/>
      <w:numFmt w:val="chineseCounting"/>
      <w:suff w:val="nothing"/>
      <w:lvlText w:val="%1、"/>
      <w:lvlJc w:val="left"/>
      <w:rPr>
        <w:rFonts w:hint="eastAsia"/>
      </w:rPr>
    </w:lvl>
  </w:abstractNum>
  <w:abstractNum w:abstractNumId="6">
    <w:nsid w:val="4178CC8F"/>
    <w:multiLevelType w:val="singleLevel"/>
    <w:tmpl w:val="4178CC8F"/>
    <w:lvl w:ilvl="0" w:tentative="0">
      <w:start w:val="1"/>
      <w:numFmt w:val="chineseCounting"/>
      <w:suff w:val="nothing"/>
      <w:lvlText w:val="%1、"/>
      <w:lvlJc w:val="left"/>
      <w:rPr>
        <w:rFonts w:hint="eastAsia"/>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86F2E"/>
    <w:rsid w:val="094D6C1E"/>
    <w:rsid w:val="09DB7984"/>
    <w:rsid w:val="10C05EA0"/>
    <w:rsid w:val="14444B38"/>
    <w:rsid w:val="27827616"/>
    <w:rsid w:val="28481571"/>
    <w:rsid w:val="2C1520B2"/>
    <w:rsid w:val="2E382DDA"/>
    <w:rsid w:val="3907625C"/>
    <w:rsid w:val="39A2628D"/>
    <w:rsid w:val="3A886F2E"/>
    <w:rsid w:val="405454DF"/>
    <w:rsid w:val="44C90603"/>
    <w:rsid w:val="461307BD"/>
    <w:rsid w:val="4A2B6446"/>
    <w:rsid w:val="4DF07E31"/>
    <w:rsid w:val="4E8E7B9C"/>
    <w:rsid w:val="506449A0"/>
    <w:rsid w:val="50D350CA"/>
    <w:rsid w:val="524D7C76"/>
    <w:rsid w:val="52554706"/>
    <w:rsid w:val="5836217D"/>
    <w:rsid w:val="5AC77502"/>
    <w:rsid w:val="60E92BEA"/>
    <w:rsid w:val="634C2D9F"/>
    <w:rsid w:val="6BCC4B0C"/>
    <w:rsid w:val="74CC3AED"/>
    <w:rsid w:val="7D25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styleId="8">
    <w:name w:val="Emphasis"/>
    <w:basedOn w:val="6"/>
    <w:qFormat/>
    <w:uiPriority w:val="0"/>
    <w:rPr>
      <w:i/>
    </w:rPr>
  </w:style>
  <w:style w:type="character" w:customStyle="1" w:styleId="9">
    <w:name w:val="font41"/>
    <w:basedOn w:val="6"/>
    <w:qFormat/>
    <w:uiPriority w:val="0"/>
    <w:rPr>
      <w:rFonts w:hint="eastAsia" w:ascii="宋体" w:hAnsi="宋体" w:eastAsia="宋体" w:cs="宋体"/>
      <w:color w:val="000000"/>
      <w:sz w:val="22"/>
      <w:szCs w:val="22"/>
      <w:u w:val="none"/>
    </w:rPr>
  </w:style>
  <w:style w:type="paragraph" w:customStyle="1" w:styleId="10">
    <w:name w:val="〖B02〗二级标题"/>
    <w:basedOn w:val="1"/>
    <w:next w:val="1"/>
    <w:qFormat/>
    <w:uiPriority w:val="0"/>
    <w:pPr>
      <w:numPr>
        <w:ilvl w:val="0"/>
        <w:numId w:val="1"/>
      </w:numPr>
      <w:suppressAutoHyphens w:val="0"/>
      <w:topLinePunct/>
      <w:spacing w:line="600" w:lineRule="exact"/>
      <w:outlineLvl w:val="1"/>
    </w:pPr>
    <w:rPr>
      <w:rFonts w:ascii="楷体_GB2312" w:eastAsia="楷体_GB2312"/>
      <w:sz w:val="32"/>
      <w:szCs w:val="32"/>
    </w:rPr>
  </w:style>
  <w:style w:type="character" w:customStyle="1" w:styleId="11">
    <w:name w:val="font81"/>
    <w:basedOn w:val="6"/>
    <w:qFormat/>
    <w:uiPriority w:val="0"/>
    <w:rPr>
      <w:rFonts w:hint="eastAsia" w:ascii="宋体" w:hAnsi="宋体" w:eastAsia="宋体" w:cs="宋体"/>
      <w:color w:val="000000"/>
      <w:sz w:val="22"/>
      <w:szCs w:val="22"/>
      <w:u w:val="none"/>
    </w:rPr>
  </w:style>
  <w:style w:type="character" w:customStyle="1" w:styleId="12">
    <w:name w:val="font91"/>
    <w:basedOn w:val="6"/>
    <w:qFormat/>
    <w:uiPriority w:val="0"/>
    <w:rPr>
      <w:rFonts w:hint="eastAsia" w:ascii="宋体" w:hAnsi="宋体" w:eastAsia="宋体" w:cs="宋体"/>
      <w:b/>
      <w:bCs/>
      <w:color w:val="000000"/>
      <w:sz w:val="22"/>
      <w:szCs w:val="22"/>
      <w:u w:val="none"/>
    </w:rPr>
  </w:style>
  <w:style w:type="character" w:customStyle="1" w:styleId="13">
    <w:name w:val="font61"/>
    <w:basedOn w:val="6"/>
    <w:qFormat/>
    <w:uiPriority w:val="0"/>
    <w:rPr>
      <w:rFonts w:hint="eastAsia" w:ascii="宋体" w:hAnsi="宋体" w:eastAsia="宋体" w:cs="宋体"/>
      <w:color w:val="000000"/>
      <w:sz w:val="22"/>
      <w:szCs w:val="22"/>
      <w:u w:val="none"/>
    </w:rPr>
  </w:style>
  <w:style w:type="character" w:customStyle="1" w:styleId="14">
    <w:name w:val="font71"/>
    <w:basedOn w:val="6"/>
    <w:qFormat/>
    <w:uiPriority w:val="0"/>
    <w:rPr>
      <w:rFonts w:hint="eastAsia" w:ascii="宋体" w:hAnsi="宋体" w:eastAsia="宋体" w:cs="宋体"/>
      <w:color w:val="000000"/>
      <w:sz w:val="22"/>
      <w:szCs w:val="22"/>
      <w:u w:val="none"/>
    </w:rPr>
  </w:style>
  <w:style w:type="character" w:customStyle="1" w:styleId="15">
    <w:name w:val="font51"/>
    <w:basedOn w:val="6"/>
    <w:qFormat/>
    <w:uiPriority w:val="0"/>
    <w:rPr>
      <w:rFonts w:hint="eastAsia" w:ascii="宋体" w:hAnsi="宋体" w:eastAsia="宋体" w:cs="宋体"/>
      <w:color w:val="000000"/>
      <w:sz w:val="22"/>
      <w:szCs w:val="22"/>
      <w:u w:val="none"/>
    </w:rPr>
  </w:style>
  <w:style w:type="character" w:customStyle="1" w:styleId="16">
    <w:name w:val="font21"/>
    <w:basedOn w:val="6"/>
    <w:qFormat/>
    <w:uiPriority w:val="0"/>
    <w:rPr>
      <w:rFonts w:hint="eastAsia" w:ascii="宋体" w:hAnsi="宋体" w:eastAsia="宋体" w:cs="宋体"/>
      <w:color w:val="000000"/>
      <w:sz w:val="22"/>
      <w:szCs w:val="22"/>
      <w:u w:val="none"/>
    </w:rPr>
  </w:style>
  <w:style w:type="character" w:customStyle="1" w:styleId="17">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9639</Words>
  <Characters>11751</Characters>
  <Lines>0</Lines>
  <Paragraphs>0</Paragraphs>
  <TotalTime>9</TotalTime>
  <ScaleCrop>false</ScaleCrop>
  <LinksUpToDate>false</LinksUpToDate>
  <CharactersWithSpaces>12230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2022-03-30T02:58:00Z</dcterms:created>
  <dc:creator>一叶枯</dc:creator>
  <cp:lastModifiedBy>Administrator</cp:lastModifiedBy>
  <dcterms:modified xsi:type="dcterms:W3CDTF">2022-04-15T07:39:26Z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4EBDDE62E3AA4BC7BE83D19650227C54</vt:lpwstr>
  </property>
</Properties>
</file>